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2025广播电视学（数字视听）专业本科培养方案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199467" cy="1117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99467" cy="11176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7441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1、专业进阶路径：135学分   </w:t>
      </w:r>
    </w:p>
    <w:p>
      <w:pPr>
        <w:spacing w:after="0"/>
        <w:ind w:left="0"/>
        <w:jc w:val="left"/>
      </w:pPr>
      <w:r>
        <w:rPr>
          <w:rFonts w:ascii="SimSun" w:hAnsi="SimSun"/>
          <w:b w:val="false"/>
          <w:i w:val="false"/>
          <w:color w:val="000000"/>
          <w:sz w:val="21"/>
        </w:rPr>
        <w:t>本路径学生需要完成135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43学分、专业培养课程50学分、专业进阶模块32学分、融合创新能力培养10学分。</w:t>
      </w:r>
    </w:p>
    <w:p>
      <w:pPr>
        <w:spacing w:after="0"/>
        <w:ind w:left="0"/>
        <w:jc w:val="left"/>
      </w:pPr>
      <w:r>
        <w:rPr>
          <w:rFonts w:ascii="SimSun" w:hAnsi="SimSun"/>
          <w:b w:val="false"/>
          <w:i w:val="false"/>
          <w:color w:val="000000"/>
          <w:sz w:val="21"/>
        </w:rPr>
        <w:t xml:space="preserve">2、本科荣誉项目：135学分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3、跨学科发展路径：135学分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724400"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24400" cy="16933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5"/>
        <w:gridCol w:w="2715"/>
        <w:gridCol w:w="674"/>
        <w:gridCol w:w="679"/>
        <w:gridCol w:w="941"/>
        <w:gridCol w:w="1616"/>
        <w:gridCol w:w="680"/>
        <w:gridCol w:w="675"/>
        <w:gridCol w:w="675"/>
        <w:gridCol w:w="675"/>
        <w:gridCol w:w="943"/>
        <w:gridCol w:w="1346"/>
      </w:tblGrid>
      <w:tr>
        <w:trPr>
          <w:trHeight w:val="45" w:hRule="atLeast"/>
        </w:trPr>
        <w:tc>
          <w:tcPr>
            <w:tcW w:w="20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社会科学基础课程</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视听史论</w:t>
            </w:r>
            <w:r>
              <w:br/>
            </w:r>
            <w:r>
              <w:br/>
            </w:r>
            <w:r>
              <w:rPr>
                <w:rFonts w:ascii="SimSun" w:hAnsi="SimSun"/>
                <w:b w:val="false"/>
                <w:i w:val="false"/>
                <w:color w:val="000000"/>
                <w:sz w:val="21"/>
              </w:rPr>
              <w:t>Theory and History: An Interpretation to Audiovisual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视听语言和审美</w:t>
            </w:r>
            <w:r>
              <w:br/>
            </w:r>
            <w:r>
              <w:br/>
            </w:r>
            <w:r>
              <w:rPr>
                <w:rFonts w:ascii="SimSun" w:hAnsi="SimSun"/>
                <w:b w:val="false"/>
                <w:i w:val="false"/>
                <w:color w:val="000000"/>
                <w:sz w:val="21"/>
              </w:rPr>
              <w:t>Audiovisual Language and Aesthetics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视听技术与应用</w:t>
            </w:r>
            <w:r>
              <w:br/>
            </w:r>
            <w:r>
              <w:br/>
            </w:r>
            <w:r>
              <w:rPr>
                <w:rFonts w:ascii="SimSun" w:hAnsi="SimSun"/>
                <w:b w:val="false"/>
                <w:i w:val="false"/>
                <w:color w:val="000000"/>
                <w:sz w:val="21"/>
              </w:rPr>
              <w:t>Technique and Application of Audio-visual Programs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视听节目构成</w:t>
            </w:r>
            <w:r>
              <w:br/>
            </w:r>
            <w:r>
              <w:br/>
            </w:r>
            <w:r>
              <w:rPr>
                <w:rFonts w:ascii="SimSun" w:hAnsi="SimSun"/>
                <w:b w:val="false"/>
                <w:i w:val="false"/>
                <w:color w:val="000000"/>
                <w:sz w:val="21"/>
              </w:rPr>
              <w:t>Broadcasting and Online Media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数字媒体艺术与技术应用</w:t>
            </w:r>
            <w:r>
              <w:br/>
            </w:r>
            <w:r>
              <w:br/>
            </w:r>
            <w:r>
              <w:rPr>
                <w:rFonts w:ascii="SimSun" w:hAnsi="SimSun"/>
                <w:b w:val="false"/>
                <w:i w:val="false"/>
                <w:color w:val="000000"/>
                <w:sz w:val="21"/>
              </w:rPr>
              <w:t>Digital Media Arts and Technology Application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数字互动叙事</w:t>
            </w:r>
            <w:r>
              <w:br/>
            </w:r>
            <w:r>
              <w:br/>
            </w:r>
            <w:r>
              <w:rPr>
                <w:rFonts w:ascii="SimSun" w:hAnsi="SimSun"/>
                <w:b w:val="false"/>
                <w:i w:val="false"/>
                <w:color w:val="000000"/>
                <w:sz w:val="21"/>
              </w:rPr>
              <w:t>Interactive Digital Narrative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