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经济学院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2025经济学（数理经济方向）专业本博融通培养方案（普通本科生）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经济学院历史悠久，师资雄厚，学科体系完备，是享誉海内外的经济学研究重镇，理论经济学和应用经济学两个一级学科分别是教育部A+学科和国家“双一流”学科。数理经济拔尖班创立于2005年，汇聚了学院最优秀的师资和学生，培养了一大批在国内外顶级高校和机构任职的精英人才，被誉为复旦大学的“经济学家摇篮”。</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项目依托教育部基础学科拔尖学生培养计划2.0经济学拔尖学生培养基地，按照“宽口径、厚基础、重能力、求创新”的人才培养要求，以“2+X+Y”为人才培养途径（2是通识和专业教育，X是多元发展路径，Y为融合创新能力），培养学生具备敏锐的问题意识、扎实的经济学理论功底、前沿的数理和量化分析能力，为成为世界一流的经济学家奠定坚实基础。若干年后能够成为对经济学前沿发展做出突出贡献、取得重要经济学成就、引领文明进步的杰出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047067" cy="1557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47067" cy="15578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2025年经济学（数理经济方向）专业本博融通管理细则，请参考《复旦大学经济学院拔尖学生培养工作方案</w:t>
      </w:r>
      <w:r>
        <w:rPr>
          <w:rFonts w:ascii="SimSun" w:hAnsi="SimSun"/>
          <w:b w:val="false"/>
          <w:i w:val="false"/>
          <w:color w:val="000000"/>
          <w:sz w:val="20"/>
        </w:rPr>
        <w:t>（2025年9月试行）</w:t>
      </w:r>
      <w:r>
        <w:rPr>
          <w:rFonts w:ascii="SimSun" w:hAnsi="SimSun"/>
          <w:b w:val="false"/>
          <w:i w:val="false"/>
          <w:color w:val="000000"/>
          <w:sz w:val="21"/>
        </w:rPr>
        <w:t>》</w:t>
      </w:r>
      <w:r>
        <w:rPr>
          <w:rFonts w:ascii="SimSun" w:hAnsi="SimSun"/>
          <w:b/>
          <w:i w:val="false"/>
          <w:color w:val="000000"/>
          <w:sz w:val="21"/>
        </w:rPr>
        <w:t>。</w:t>
      </w: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第6学期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面试内容：荣誉课程学习情况、综合评价（竞赛、比赛、科研实践情况及经济学志趣等内容）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第10学期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资格考核包含笔试和面试两部分，考核时间安排在第10学期初。笔试部分：每位同学必须参加高级宏观经济学、高级微观经济学、高级计量经济学三门课程的考核。考试成绩按百分制计分，每门课程考试时间为2小时。
面试部分：学院统一组织面试工作，考核专家组由学院分管领导担任组长，专家组成员不少于3人，从以下四个方面进行考核：       1.修读学位必修课程及平均绩点；2.参加校内学术活动情况；3.科研学术训练经历及相关成果；4.在学期间德智体美劳及思想政治表现。                                                      博士资格考核总成绩=三门课程笔试总分按百分制折算*50%+面试成绩*50%。                                                  符合以下任一种情况为首次考核结果不通过。即1.总成绩没有达到60分为“不通过”；2.如果所有参加资格考试的同学都达到60或60分以上，则总成绩排名在末位为“不通过”。对首次考核结果不通过的同学可有一次补考机会，补考时间安排在第10学期末。补考成绩不及格者，考试结</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经济学院本科“2+X+Y”培养方案（按退出时点确定合适的培养方案）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经济学院专硕培养方案（可选）</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第2学期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面试内容：荣誉课程学习情况、综合评价（竞赛、比赛、科研实践情况及经济学志趣等内容）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经济学（数理经济方向）</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139</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39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77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经济学博士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758"/>
        <w:gridCol w:w="1759"/>
        <w:gridCol w:w="1759"/>
        <w:gridCol w:w="1759"/>
        <w:gridCol w:w="1770"/>
        <w:gridCol w:w="1770"/>
        <w:gridCol w:w="1771"/>
        <w:gridCol w:w="1771"/>
        <w:gridCol w:w="1777"/>
        <w:gridCol w:w="1777"/>
        <w:gridCol w:w="1789"/>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专业进阶路径：164学分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本路径学生本博期间必须修满教学计划规定的164学分，包括通识教育课程41学分、专业培养课程77学分、专业进阶I修读18学分、专业进阶II修读12学分、融合创新能力培养模块16学分的修读。</w:t>
            </w:r>
            <w:r>
              <w:br/>
            </w:r>
            <w:r>
              <w:br/>
            </w:r>
            <w:r>
              <w:rPr>
                <w:rFonts w:ascii="SimSun" w:hAnsi="SimSun"/>
                <w:b w:val="false"/>
                <w:i w:val="false"/>
                <w:color w:val="000000"/>
                <w:sz w:val="21"/>
              </w:rPr>
              <w:t xml:space="preserve">      其中，本科学段需要完成139学分（含实践学分不低于32学分；含美育学分不少于2学分，其中至少在“美学和艺术史论类”或“艺术鉴赏和评论类”课程中修读1学分，并至少参与一项艺术实践活动；劳动教育不少于32学时，并满足劳动周教育要求），包括通识教育课程39学分、专业培养课程77学分、专业进阶模块修读30学分、融合创新能力培养5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2、本科荣誉项目</w:t>
            </w:r>
          </w:p>
        </w:tc>
      </w:tr>
      <w:tr>
        <w:trPr>
          <w:trHeight w:val="313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在专业进阶路径基础上，修读荣誉课程不少于5门课。荣誉项目课程设置和修读要求请见经济学院“荣誉项目”实施方案。下载地址：https://jwc.fudan.edu.cn/（复旦大学教务处）专业培养-常用文档。</w:t>
            </w:r>
          </w:p>
        </w:tc>
      </w:tr>
    </w:tbl>
    <w:p>
      <w:pPr>
        <w:spacing w:after="0"/>
        <w:ind w:left="0"/>
        <w:jc w:val="left"/>
      </w:pPr>
      <w:r>
        <w:rPr>
          <w:rFonts w:ascii="SimSun" w:hAnsi="SimSun"/>
          <w:b/>
          <w:i w:val="false"/>
          <w:color w:val="000000"/>
          <w:sz w:val="24"/>
        </w:rPr>
        <w:t xml:space="preserve">
       六.    学位要求
      </w:t>
      </w:r>
    </w:p>
    <w:p>
      <w:pPr>
        <w:spacing w:after="0"/>
        <w:ind w:left="0"/>
        <w:jc w:val="left"/>
      </w:pP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667"/>
        <w:gridCol w:w="1673"/>
        <w:gridCol w:w="1673"/>
        <w:gridCol w:w="1679"/>
        <w:gridCol w:w="1679"/>
        <w:gridCol w:w="1679"/>
        <w:gridCol w:w="1686"/>
        <w:gridCol w:w="1686"/>
        <w:gridCol w:w="1686"/>
        <w:gridCol w:w="1686"/>
        <w:gridCol w:w="1686"/>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（一）本科学位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4年级结束时，如达到学士学位要求者理授予经济学学士学位。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（3）在此基础上，达到经济学院“荣誉证书”获得条件的授予“荣誉证书”，具体要求请见经济学院“荣誉项目”实施方案。</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本科学段主动退出和转段考核不合格退出本博融通计划的学生，则按照经济学院本科“2+X+Y”培养方案（根据退出时点确定合适的培养方案），如达到学士学位要求者授予经济学学士学位。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（二）研究生学位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达到博士学位要求者授予经济学博士学位。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（1）必须已修满学校规定的学分，所有修读课程成绩合格，其中研究生学位课程平均绩点不低于 2.5。</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（2）复旦大学经济学院博士学位申请人在攻读学位期间必须发表符合一定数量和质量要求的学术论文，具体要求说明如下：</w:t>
            </w:r>
            <w:r>
              <w:br/>
            </w:r>
            <w:r>
              <w:br/>
            </w:r>
            <w:r>
              <w:rPr>
                <w:rFonts w:ascii="SimSun" w:hAnsi="SimSun"/>
                <w:b w:val="false"/>
                <w:i w:val="false"/>
                <w:color w:val="000000"/>
                <w:sz w:val="21"/>
              </w:rPr>
              <w:t>1.至少在《复旦大学经济学院经济学学位与研究生教育期刊指导目录》B 类期刊上发表（含录用）2 篇专业学术论文；在 A 类期刊上发表一篇文章可相当于在 B 类期刊上发表2 篇文章；或者，由经济学学位评定分委会通过的其它跨一级或综合类期刊目录上发表的专业学术论文、以及在海外学术刊物上发表的专业学术论文。</w:t>
            </w:r>
            <w:r>
              <w:br/>
            </w:r>
            <w:r>
              <w:br/>
            </w:r>
            <w:r>
              <w:rPr>
                <w:rFonts w:ascii="SimSun" w:hAnsi="SimSun"/>
                <w:b w:val="false"/>
                <w:i w:val="false"/>
                <w:color w:val="000000"/>
                <w:sz w:val="21"/>
              </w:rPr>
              <w:t xml:space="preserve">2.申请博士学位发表论文要求作者排名第一（特殊情况除外）。特殊情况包括：（1）第一作者为导师，第二作者为学位申请人；（2）在国外学术刊物上用外文发表且所发刊物符合经济学学位评定分委会要求的学术论文，申请博士学位的申请人排名须符合以下任一条：①按姓氏英文字母顺序排名，其他作者皆证明学位申请人为共同第一作者，可用于一位作者申请学位；若属于学院外文奖励期刊目录中 B 档，最多可用于两位作者申请学位；若属于学院外文奖励期刊目录中 A 或 A-档，最多可用于三位作者申请学位。②不按姓氏英文字母顺序排名，学位申请人为第一作者或第一作者为导师、第二作者为学位申请人；（3）已投稿于学院外文奖励期刊目录中 A 或 A-档期刊处于修改后提交（R&amp;R）阶段、且没有被拒稿的论文，与在上述期刊上正式刊发的论文等同。                                                                                  </w:t>
            </w:r>
            <w:r>
              <w:br/>
            </w:r>
            <w:r>
              <w:br/>
            </w:r>
            <w:r>
              <w:rPr>
                <w:rFonts w:ascii="SimSun" w:hAnsi="SimSun"/>
                <w:b w:val="false"/>
                <w:i w:val="false"/>
                <w:color w:val="000000"/>
                <w:sz w:val="21"/>
              </w:rPr>
              <w:t>3. 用于申请学位的学术论文，第一作者单位应署复旦大学。</w:t>
            </w:r>
            <w:r>
              <w:br/>
            </w:r>
            <w:r>
              <w:br/>
            </w:r>
            <w:r>
              <w:rPr>
                <w:rFonts w:ascii="SimSun" w:hAnsi="SimSun"/>
                <w:b w:val="false"/>
                <w:i w:val="false"/>
                <w:color w:val="000000"/>
                <w:sz w:val="21"/>
              </w:rPr>
              <w:t>4.在有关期刊的增刊上发表论文不予以认可。</w:t>
            </w:r>
          </w:p>
        </w:tc>
      </w:tr>
      <w:tr>
        <w:trPr>
          <w:trHeight w:val="937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2、8年级及以后,自愿退出博士培养项目或无法达到博士学位授予条件，按照科学硕士学位授予要求予以审核。</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243"/>
        <w:gridCol w:w="2243"/>
        <w:gridCol w:w="2243"/>
        <w:gridCol w:w="2247"/>
        <w:gridCol w:w="2247"/>
        <w:gridCol w:w="2247"/>
        <w:gridCol w:w="2247"/>
        <w:gridCol w:w="2247"/>
        <w:gridCol w:w="2247"/>
        <w:gridCol w:w="2247"/>
        <w:gridCol w:w="2247"/>
      </w:tblGrid>
      <w:tr>
        <w:trPr>
          <w:trHeight w:val="27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52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以8门高难度、大学分的荣誉课程，6门高难度、两阶段的“三高”课程（高微、高宏、高计）为基础建立了本研融通的专业核心课程体系，以学科领域为横、课程内容梯度为纵建立了难度逐级提升的本研融通的专业进阶课程体系。为鼓励学生挑战自我，数理基础和方法模块设立多门AI等交叉融合必修课程，夯实数理基础，提升分析能力。</w:t>
            </w:r>
          </w:p>
        </w:tc>
      </w:tr>
      <w:tr>
        <w:trPr>
          <w:trHeight w:val="27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232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科阶段，1、2年级设立走进经济学系列讲座和中国经济学系列讲座，引导学生认识经济学、喜欢经济学；激发学生对经济学科的兴趣，培养实践能力。3、4年级通过完成科研实践、创新实践、学术实践和社会实践等，激发创新志趣，引导学生洞察现实，参加导师（组）讨论班，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tc>
      </w:tr>
    </w:tbl>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（41学分,本科要求39学分）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1.通识教育核心课程（28学分）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本研融通课程请在研究生课程类别一栏注明：学位课、选修课，该栏空白默认为本科生课程。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七大模块课程6学分（七大模块6学分中每模块最多修读1门课，回避第四模块“社会研究与当代中国”，即修读第四模块课程将不计入七大模块学分中）。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思想政治理论课模块</w:t>
      </w:r>
      <w:r>
        <w:rPr>
          <w:rFonts w:ascii="SimSun" w:hAnsi="SimSun"/>
          <w:b/>
          <w:i w:val="false"/>
          <w:color w:val="000000"/>
          <w:sz w:val="21"/>
        </w:rPr>
        <w:t>（21学分,本科要求19学分）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研究生政治课程</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中国马克思主义与当代</w:t>
            </w:r>
            <w:r>
              <w:br/>
            </w:r>
            <w:r>
              <w:br/>
            </w:r>
            <w:r>
              <w:rPr>
                <w:rFonts w:ascii="SimSun" w:hAnsi="SimSun"/>
                <w:b w:val="false"/>
                <w:i w:val="false"/>
                <w:color w:val="000000"/>
                <w:sz w:val="21"/>
              </w:rPr>
              <w:t>Marxism in China and Contemporary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政治理论课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中国马克思主义与当代（文科）</w:t>
            </w:r>
            <w:r>
              <w:br/>
            </w:r>
            <w:r>
              <w:br/>
            </w:r>
            <w:r>
              <w:rPr>
                <w:rFonts w:ascii="SimSun" w:hAnsi="SimSun"/>
                <w:b w:val="false"/>
                <w:i w:val="false"/>
                <w:color w:val="000000"/>
                <w:sz w:val="21"/>
              </w:rPr>
              <w:t>Marxism in China and in Contemporary Times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政治理论课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（13学分,本科要求13学分）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 专项教育课程（13学分）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要求修读13学分。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（77学分,本科要求80学分）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要求修读经济学类基础课程28学分。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数学类基础课程</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数学分析B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高等数学A</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学科基础课程</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（52学分,本科要求52学分）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专业核心教育课程</w:t>
      </w:r>
      <w:r>
        <w:rPr>
          <w:rFonts w:ascii="SimSun" w:hAnsi="SimSun"/>
          <w:b/>
          <w:i w:val="false"/>
          <w:color w:val="000000"/>
          <w:sz w:val="21"/>
        </w:rPr>
        <w:t>（26学分,本科要求26学分）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公司金融(H)</w:t>
            </w:r>
            <w:r>
              <w:br/>
            </w:r>
            <w:r>
              <w:br/>
            </w:r>
            <w:r>
              <w:rPr>
                <w:rFonts w:ascii="SimSun" w:hAnsi="SimSun"/>
                <w:b w:val="false"/>
                <w:i w:val="false"/>
                <w:color w:val="000000"/>
                <w:sz w:val="21"/>
              </w:rPr>
              <w:t>Corporate Finance(H)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计量经济学（H）</w:t>
            </w:r>
            <w:r>
              <w:br/>
            </w:r>
            <w:r>
              <w:br/>
            </w:r>
            <w:r>
              <w:rPr>
                <w:rFonts w:ascii="SimSun" w:hAnsi="SimSun"/>
                <w:b w:val="false"/>
                <w:i w:val="false"/>
                <w:color w:val="000000"/>
                <w:sz w:val="21"/>
              </w:rPr>
              <w:t>Econometrics (H)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w:t>
            </w:r>
            <w:r>
              <w:br/>
            </w:r>
            <w:r>
              <w:br/>
            </w:r>
            <w:r>
              <w:rPr>
                <w:rFonts w:ascii="SimSun" w:hAnsi="SimSun"/>
                <w:b w:val="false"/>
                <w:i w:val="false"/>
                <w:color w:val="000000"/>
                <w:sz w:val="21"/>
              </w:rPr>
              <w:t>Public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Contemporary Chinese Economy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ECON30025</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（26学分,本科要求26学分）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博弈论(H)</w:t>
            </w:r>
            <w:r>
              <w:br/>
            </w:r>
            <w:r>
              <w:br/>
            </w:r>
            <w:r>
              <w:rPr>
                <w:rFonts w:ascii="SimSun" w:hAnsi="SimSun"/>
                <w:b w:val="false"/>
                <w:i w:val="false"/>
                <w:color w:val="000000"/>
                <w:sz w:val="21"/>
              </w:rPr>
              <w:t>Game Theory(H)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w:t>
            </w:r>
            <w:r>
              <w:br/>
            </w:r>
            <w:r>
              <w:br/>
            </w:r>
            <w:r>
              <w:rPr>
                <w:rFonts w:ascii="SimSun" w:hAnsi="SimSun"/>
                <w:b w:val="false"/>
                <w:i w:val="false"/>
                <w:color w:val="000000"/>
                <w:sz w:val="21"/>
              </w:rPr>
              <w:t>Differential Equations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截面与面板数据分析(H)</w:t>
            </w:r>
            <w:r>
              <w:br/>
            </w:r>
            <w:r>
              <w:br/>
            </w:r>
            <w:r>
              <w:rPr>
                <w:rFonts w:ascii="SimSun" w:hAnsi="SimSun"/>
                <w:b w:val="false"/>
                <w:i w:val="false"/>
                <w:color w:val="000000"/>
                <w:sz w:val="21"/>
              </w:rPr>
              <w:t>Econometric Analysis of Cross Section and Panel Data(H)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统计（机器）学习概论</w:t>
            </w:r>
            <w:r>
              <w:br/>
            </w:r>
            <w:r>
              <w:br/>
            </w:r>
            <w:r>
              <w:rPr>
                <w:rFonts w:ascii="SimSun" w:hAnsi="SimSun"/>
                <w:b w:val="false"/>
                <w:i w:val="false"/>
                <w:color w:val="000000"/>
                <w:sz w:val="21"/>
              </w:rPr>
              <w:t>Introduction to Statistical Learning and Machine Learning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经济学中的动态和优化方法</w:t>
            </w:r>
            <w:r>
              <w:br/>
            </w:r>
            <w:r>
              <w:br/>
            </w:r>
            <w:r>
              <w:rPr>
                <w:rFonts w:ascii="SimSun" w:hAnsi="SimSun"/>
                <w:b w:val="false"/>
                <w:i w:val="false"/>
                <w:color w:val="000000"/>
                <w:sz w:val="21"/>
              </w:rPr>
              <w:t>Dynamic Optimization and Dynamic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w:t>
            </w:r>
            <w:r>
              <w:br/>
            </w:r>
            <w:r>
              <w:br/>
            </w:r>
            <w:r>
              <w:rPr>
                <w:rFonts w:ascii="SimSun" w:hAnsi="SimSun"/>
                <w:b w:val="false"/>
                <w:i w:val="false"/>
                <w:color w:val="000000"/>
                <w:sz w:val="21"/>
              </w:rPr>
              <w:t>Advanced Microeconomics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高级宏观经济学</w:t>
            </w:r>
            <w:r>
              <w:br/>
            </w:r>
            <w:r>
              <w:br/>
            </w:r>
            <w:r>
              <w:rPr>
                <w:rFonts w:ascii="SimSun" w:hAnsi="SimSun"/>
                <w:b w:val="false"/>
                <w:i w:val="false"/>
                <w:color w:val="000000"/>
                <w:sz w:val="21"/>
              </w:rPr>
              <w:t>Advanced Macroeconomics</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ECON60007</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本路径学生本博期间必须修满教学计划规定的162学分，包括通识教育课程42学分、专业培养课程80学分、专业进阶I修读15学分、专业进阶II修读9学分、融合创新能力培养模块17学分的修读。
       </w:t>
      </w:r>
      <w:r>
        <w:br/>
      </w:r>
      <w:r>
        <w:rPr>
          <w:rFonts w:ascii="SimSun" w:hAnsi="SimSun"/>
          <w:b w:val="false"/>
          <w:i w:val="false"/>
          <w:color w:val="000000"/>
          <w:sz w:val="21"/>
        </w:rPr>
        <w:t xml:space="preserve">
       </w:t>
      </w:r>
      <w:r>
        <w:br/>
      </w:r>
      <w:r>
        <w:rPr>
          <w:rFonts w:ascii="SimSun" w:hAnsi="SimSun"/>
          <w:b w:val="false"/>
          <w:i w:val="false"/>
          <w:color w:val="000000"/>
          <w:sz w:val="21"/>
        </w:rPr>
        <w:t xml:space="preserve">      其中，本科学段需要完成143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42学分、专业培养课程80学分、专业进阶模块修读24学分、融合创新能力培养3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（18学分,本科要求18学分）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方法模块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w:t>
            </w:r>
            <w:r>
              <w:br/>
            </w:r>
            <w:r>
              <w:br/>
            </w:r>
            <w:r>
              <w:rPr>
                <w:rFonts w:ascii="SimSun" w:hAnsi="SimSun"/>
                <w:b w:val="false"/>
                <w:i w:val="false"/>
                <w:color w:val="000000"/>
                <w:sz w:val="21"/>
              </w:rPr>
              <w:t>Overseas Lecturers' Short Courses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海外学者专题III</w:t>
            </w:r>
            <w:r>
              <w:br/>
            </w:r>
            <w:r>
              <w:br/>
            </w:r>
            <w:r>
              <w:rPr>
                <w:rFonts w:ascii="SimSun" w:hAnsi="SimSun"/>
                <w:b w:val="false"/>
                <w:i w:val="false"/>
                <w:color w:val="000000"/>
                <w:sz w:val="21"/>
              </w:rPr>
              <w:t>Overseas Lecturers’ Short Courses III</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理论模块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发展经济学(H)</w:t>
            </w:r>
            <w:r>
              <w:br/>
            </w:r>
            <w:r>
              <w:br/>
            </w:r>
            <w:r>
              <w:rPr>
                <w:rFonts w:ascii="SimSun" w:hAnsi="SimSun"/>
                <w:b w:val="false"/>
                <w:i w:val="false"/>
                <w:color w:val="000000"/>
                <w:sz w:val="21"/>
              </w:rPr>
              <w:t>Development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经济学前沿专题(H)</w:t>
            </w:r>
            <w:r>
              <w:br/>
            </w:r>
            <w:r>
              <w:br/>
            </w:r>
            <w:r>
              <w:rPr>
                <w:rFonts w:ascii="SimSun" w:hAnsi="SimSun"/>
                <w:b w:val="false"/>
                <w:i w:val="false"/>
                <w:color w:val="000000"/>
                <w:sz w:val="21"/>
              </w:rPr>
              <w:t>Advanced Topics in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数字经济概论</w:t>
            </w:r>
            <w:r>
              <w:br/>
            </w:r>
            <w:r>
              <w:br/>
            </w:r>
            <w:r>
              <w:rPr>
                <w:rFonts w:ascii="SimSun" w:hAnsi="SimSun"/>
                <w:b w:val="false"/>
                <w:i w:val="false"/>
                <w:color w:val="000000"/>
                <w:sz w:val="21"/>
              </w:rPr>
              <w:t>Introduction to Digital Economics</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应用模块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国际贸易(H)</w:t>
            </w:r>
            <w:r>
              <w:br/>
            </w:r>
            <w:r>
              <w:br/>
            </w:r>
            <w:r>
              <w:rPr>
                <w:rFonts w:ascii="SimSun" w:hAnsi="SimSun"/>
                <w:b w:val="false"/>
                <w:i w:val="false"/>
                <w:color w:val="000000"/>
                <w:sz w:val="21"/>
              </w:rPr>
              <w:t>International Trade(H)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ECON30018h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劳动经济学(H)</w:t>
            </w:r>
            <w:r>
              <w:br/>
            </w:r>
            <w:r>
              <w:br/>
            </w:r>
            <w:r>
              <w:rPr>
                <w:rFonts w:ascii="SimSun" w:hAnsi="SimSun"/>
                <w:b w:val="false"/>
                <w:i w:val="false"/>
                <w:color w:val="000000"/>
                <w:sz w:val="21"/>
              </w:rPr>
              <w:t>Labor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ECON30113h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资产定价</w:t>
            </w:r>
            <w:r>
              <w:br/>
            </w:r>
            <w:r>
              <w:br/>
            </w:r>
            <w:r>
              <w:rPr>
                <w:rFonts w:ascii="SimSun" w:hAnsi="SimSun"/>
                <w:b w:val="false"/>
                <w:i w:val="false"/>
                <w:color w:val="000000"/>
                <w:sz w:val="21"/>
              </w:rPr>
              <w:t>Asset Pricing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高级计量经济学</w:t>
            </w:r>
            <w:r>
              <w:br/>
            </w:r>
            <w:r>
              <w:br/>
            </w:r>
            <w:r>
              <w:rPr>
                <w:rFonts w:ascii="SimSun" w:hAnsi="SimSun"/>
                <w:b w:val="false"/>
                <w:i w:val="false"/>
                <w:color w:val="000000"/>
                <w:sz w:val="21"/>
              </w:rPr>
              <w:t>Advanced Econometrics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高级微观经济学（II）</w:t>
            </w:r>
            <w:r>
              <w:br/>
            </w:r>
            <w:r>
              <w:br/>
            </w:r>
            <w:r>
              <w:rPr>
                <w:rFonts w:ascii="SimSun" w:hAnsi="SimSun"/>
                <w:b w:val="false"/>
                <w:i w:val="false"/>
                <w:color w:val="000000"/>
                <w:sz w:val="21"/>
              </w:rPr>
              <w:t>Advanced Microeconomics(II)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高级宏观经济学（II）</w:t>
            </w:r>
            <w:r>
              <w:br/>
            </w:r>
            <w:r>
              <w:br/>
            </w:r>
            <w:r>
              <w:rPr>
                <w:rFonts w:ascii="SimSun" w:hAnsi="SimSun"/>
                <w:b w:val="false"/>
                <w:i w:val="false"/>
                <w:color w:val="000000"/>
                <w:sz w:val="21"/>
              </w:rPr>
              <w:t>Advanced Macroeconomics(II)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高级计量经济学（Ⅱ）</w:t>
            </w:r>
            <w:r>
              <w:br/>
            </w:r>
            <w:r>
              <w:br/>
            </w:r>
            <w:r>
              <w:rPr>
                <w:rFonts w:ascii="SimSun" w:hAnsi="SimSun"/>
                <w:b w:val="false"/>
                <w:i w:val="false"/>
                <w:color w:val="000000"/>
                <w:sz w:val="21"/>
              </w:rPr>
              <w:t>Advanced Econometrics(Ⅱ)</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ECON60013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在专业进阶路径基础上，修读荣誉课程不少于5门课。荣誉项目课程设置和修读要求请见经济学院“荣誉项目”实施方案。下载地址：https://jwc.fudan.edu.cn/（复旦大学教务处）专业培养-常用文档。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按照“基础型—综合型—创新型”渐次推进、相互衔接的实践教学体系，在解决复杂问题的过程中培养实践能力，激发批判性思维和科研潜力。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融合创新能力训练体系，在1、2年级设立走进经济学系列讲座和中国经济学系列讲座，引导学生认识经济学、喜欢经济学；激发学生对经济学科的兴趣。3、4年级通过完成科研实践、创新实践、学术实践和社会实践等，激发创新志趣，培养实践能力。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多渠道支持学生参加国内国际高水平学术交流，鼓励学生参加国内国际高水平创新竞赛（中国国际大学生创新大赛、“挑战杯”全国大学生课外学术科技作品竞赛等）。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走进经济学系列讲座</w:t>
            </w:r>
            <w:r>
              <w:br/>
            </w:r>
            <w:r>
              <w:br/>
            </w:r>
            <w:r>
              <w:rPr>
                <w:rFonts w:ascii="SimSun" w:hAnsi="SimSun"/>
                <w:b w:val="false"/>
                <w:i w:val="false"/>
                <w:color w:val="000000"/>
                <w:sz w:val="21"/>
              </w:rPr>
              <w:t>Discovering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中国经济学系列讲座</w:t>
            </w:r>
            <w:r>
              <w:br/>
            </w:r>
            <w:r>
              <w:br/>
            </w:r>
            <w:r>
              <w:rPr>
                <w:rFonts w:ascii="SimSun" w:hAnsi="SimSun"/>
                <w:b w:val="false"/>
                <w:i w:val="false"/>
                <w:color w:val="000000"/>
                <w:sz w:val="21"/>
              </w:rPr>
              <w:t>Chinese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科研实践（复芏计划）</w:t>
            </w:r>
            <w:r>
              <w:br/>
            </w:r>
            <w:r>
              <w:br/>
            </w:r>
            <w:r>
              <w:rPr>
                <w:rFonts w:ascii="SimSun" w:hAnsi="SimSun"/>
                <w:b w:val="false"/>
                <w:i w:val="false"/>
                <w:color w:val="000000"/>
                <w:sz w:val="21"/>
              </w:rPr>
              <w:t>Research Practice (FDUROP Program)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经济学讲座一</w:t>
            </w:r>
            <w:r>
              <w:br/>
            </w:r>
            <w:r>
              <w:br/>
            </w:r>
            <w:r>
              <w:rPr>
                <w:rFonts w:ascii="SimSun" w:hAnsi="SimSun"/>
                <w:b w:val="false"/>
                <w:i w:val="false"/>
                <w:color w:val="000000"/>
                <w:sz w:val="21"/>
              </w:rPr>
              <w:t>Advanced Economic LecturesI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经济学讲座二</w:t>
            </w:r>
            <w:r>
              <w:br/>
            </w:r>
            <w:r>
              <w:br/>
            </w:r>
            <w:r>
              <w:rPr>
                <w:rFonts w:ascii="SimSun" w:hAnsi="SimSun"/>
                <w:b w:val="false"/>
                <w:i w:val="false"/>
                <w:color w:val="000000"/>
                <w:sz w:val="21"/>
              </w:rPr>
              <w:t>Advanced Economic LecturesII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经济学讲座三</w:t>
            </w:r>
            <w:r>
              <w:br/>
            </w:r>
            <w:r>
              <w:br/>
            </w:r>
            <w:r>
              <w:rPr>
                <w:rFonts w:ascii="SimSun" w:hAnsi="SimSun"/>
                <w:b w:val="false"/>
                <w:i w:val="false"/>
                <w:color w:val="000000"/>
                <w:sz w:val="21"/>
              </w:rPr>
              <w:t>Advanced Economic LecturesIII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经济学讲座四</w:t>
            </w:r>
            <w:r>
              <w:br/>
            </w:r>
            <w:r>
              <w:br/>
            </w:r>
            <w:r>
              <w:rPr>
                <w:rFonts w:ascii="SimSun" w:hAnsi="SimSun"/>
                <w:b w:val="false"/>
                <w:i w:val="false"/>
                <w:color w:val="000000"/>
                <w:sz w:val="21"/>
              </w:rPr>
              <w:t>Advanced Economic LecturesIV</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经济学讲座五</w:t>
            </w:r>
            <w:r>
              <w:br/>
            </w:r>
            <w:r>
              <w:br/>
            </w:r>
            <w:r>
              <w:rPr>
                <w:rFonts w:ascii="SimSun" w:hAnsi="SimSun"/>
                <w:b w:val="false"/>
                <w:i w:val="false"/>
                <w:color w:val="000000"/>
                <w:sz w:val="21"/>
              </w:rPr>
              <w:t>Advanced Economic LecturesV</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经济学讲座六</w:t>
            </w:r>
            <w:r>
              <w:br/>
            </w:r>
            <w:r>
              <w:br/>
            </w:r>
            <w:r>
              <w:rPr>
                <w:rFonts w:ascii="SimSun" w:hAnsi="SimSun"/>
                <w:b w:val="false"/>
                <w:i w:val="false"/>
                <w:color w:val="000000"/>
                <w:sz w:val="21"/>
              </w:rPr>
              <w:t>Advanced Economic LecturesVI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经济学讲座七</w:t>
            </w:r>
            <w:r>
              <w:br/>
            </w:r>
            <w:r>
              <w:br/>
            </w:r>
            <w:r>
              <w:rPr>
                <w:rFonts w:ascii="SimSun" w:hAnsi="SimSun"/>
                <w:b w:val="false"/>
                <w:i w:val="false"/>
                <w:color w:val="000000"/>
                <w:sz w:val="21"/>
              </w:rPr>
              <w:t>Advanced Economic LecturesVII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经济学讲座八</w:t>
            </w:r>
            <w:r>
              <w:br/>
            </w:r>
            <w:r>
              <w:br/>
            </w:r>
            <w:r>
              <w:rPr>
                <w:rFonts w:ascii="SimSun" w:hAnsi="SimSun"/>
                <w:b w:val="false"/>
                <w:i w:val="false"/>
                <w:color w:val="000000"/>
                <w:sz w:val="21"/>
              </w:rPr>
              <w:t>Advanced Economic LecturesVIII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经济学讲座九</w:t>
            </w:r>
            <w:r>
              <w:br/>
            </w:r>
            <w:r>
              <w:br/>
            </w:r>
            <w:r>
              <w:rPr>
                <w:rFonts w:ascii="SimSun" w:hAnsi="SimSun"/>
                <w:b w:val="false"/>
                <w:i w:val="false"/>
                <w:color w:val="000000"/>
                <w:sz w:val="21"/>
              </w:rPr>
              <w:t>Advanced Economic LecturesIX</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w:t>
            </w:r>
            <w:r>
              <w:br/>
            </w:r>
            <w:r>
              <w:br/>
            </w:r>
            <w:r>
              <w:rPr>
                <w:rFonts w:ascii="SimSun" w:hAnsi="SimSun"/>
                <w:b w:val="false"/>
                <w:i w:val="false"/>
                <w:color w:val="000000"/>
                <w:sz w:val="21"/>
              </w:rPr>
              <w:t>Advanced Economic LecturesX</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经济学讲座十一</w:t>
            </w:r>
            <w:r>
              <w:br/>
            </w:r>
            <w:r>
              <w:br/>
            </w:r>
            <w:r>
              <w:rPr>
                <w:rFonts w:ascii="SimSun" w:hAnsi="SimSun"/>
                <w:b w:val="false"/>
                <w:i w:val="false"/>
                <w:color w:val="000000"/>
                <w:sz w:val="21"/>
              </w:rPr>
              <w:t>Advanced Economic LecturesXI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经济学讲座十二</w:t>
            </w:r>
            <w:r>
              <w:br/>
            </w:r>
            <w:r>
              <w:br/>
            </w:r>
            <w:r>
              <w:rPr>
                <w:rFonts w:ascii="SimSun" w:hAnsi="SimSun"/>
                <w:b w:val="false"/>
                <w:i w:val="false"/>
                <w:color w:val="000000"/>
                <w:sz w:val="21"/>
              </w:rPr>
              <w:t>Advanced Economic LecturesXII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经济学讲座十三</w:t>
            </w:r>
            <w:r>
              <w:br/>
            </w:r>
            <w:r>
              <w:br/>
            </w:r>
            <w:r>
              <w:rPr>
                <w:rFonts w:ascii="SimSun" w:hAnsi="SimSun"/>
                <w:b w:val="false"/>
                <w:i w:val="false"/>
                <w:color w:val="000000"/>
                <w:sz w:val="21"/>
              </w:rPr>
              <w:t>Advanced Economic LecturesXIII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经济学讲座十四</w:t>
            </w:r>
            <w:r>
              <w:br/>
            </w:r>
            <w:r>
              <w:br/>
            </w:r>
            <w:r>
              <w:rPr>
                <w:rFonts w:ascii="SimSun" w:hAnsi="SimSun"/>
                <w:b w:val="false"/>
                <w:i w:val="false"/>
                <w:color w:val="000000"/>
                <w:sz w:val="21"/>
              </w:rPr>
              <w:t>Advanced Economic LecturesXIV</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经济学讲座十五</w:t>
            </w:r>
            <w:r>
              <w:br/>
            </w:r>
            <w:r>
              <w:br/>
            </w:r>
            <w:r>
              <w:rPr>
                <w:rFonts w:ascii="SimSun" w:hAnsi="SimSun"/>
                <w:b w:val="false"/>
                <w:i w:val="false"/>
                <w:color w:val="000000"/>
                <w:sz w:val="21"/>
              </w:rPr>
              <w:t>Advanced Economic LecturesXV</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经济学讲座十六</w:t>
            </w:r>
            <w:r>
              <w:br/>
            </w:r>
            <w:r>
              <w:br/>
            </w:r>
            <w:r>
              <w:rPr>
                <w:rFonts w:ascii="SimSun" w:hAnsi="SimSun"/>
                <w:b w:val="false"/>
                <w:i w:val="false"/>
                <w:color w:val="000000"/>
                <w:sz w:val="21"/>
              </w:rPr>
              <w:t>Advanced Economic LecturesXVI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蒋学模经济学前沿讲座课程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①在学期间要参加学校老师(包括导师)的科研活动，训练搜集整理数据能力和协助科研能力，活动确认由导师签字认可；②参加至少5场学院的公开学术讲座。③以报告人身份至少参加2次本学科领域的高水平会议。④导师推荐学员到世界一流水平的境外高校进行不少于一学年的学习、研究或联合培养。</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至少承担两门次研究生课程的助教，并有导师签字确认。</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通过资格考试的博士生方可进行论文开题，一般应在通过资格考试一年内完成开题。每位博士生开题答辩汇报时间一般不少于30分钟。答辩专家组由不少于 5 位具有正高级职称专家、或博士生指导教师组成。开题答辩由专人负责记录。</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开题通过满6个月的博士生方可参加中期考核，一般应在通过开题一年内完成中期考核。每位博士生中期考核汇报时间一般不少于30分钟。答辩专家组原则上由参加开题的答辩专家组成，由不少于 5 位具有正高级职称专家、或博士生指导教师组成。答辩专家组听取博士生个人汇报，并有专人负责记录。</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期考核通过的博士生方可申请参加博士学位论文预审，博士生应在学位论文提交送审前至少6个月完成预审。每位博士生预答辩汇报时间一般不少于30分钟。预答辩专家组由不少于3位具有正高级职称专家、或博士生指导教师组成。预答辩由专人负责记录。根据学校有关重要通知，经济学院学术学位硕士、专业学位硕士、博士研究生学位论文预答辩环节中，学生个人的导师信息不列入其学位论文预答辩小组或委员会成员名单之中。</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