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口腔医学院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2025级口腔医学-口腔医学本硕融通“2+X+Y”教学培养方案（专硕-AI双学士学位）</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b w:val="false"/>
          <w:i w:val="false"/>
          <w:color w:val="000000"/>
          <w:sz w:val="21"/>
        </w:rPr>
        <w:t xml:space="preserve">      复旦大学发挥和整合附属医院优质口腔医教研防资源优势，依托上海市口腔医院，高起点谋划，高站位对标，建设口腔医学学科和专业，拥有口腔医学硕士和博士专业学位授予点、博士后流动站，国家住院医师规培基地和上海市专科医师培训基地。拥有教育部“长江学者奖励计划”特聘教授、中组部万人计划领军人才、国家“百千万人才工程”国家级人选、国务院政府特殊津贴专家等国家级人才，以及上海市优秀学术带头人、上海市医务工匠等省部级人才。拥有国家自然科学基金创新研究群体负责人，“十三五”、“十四五”国家重点研发计划首席科学家，国家重大科学研究计划“973”课题、国家自然科学基金委重点项目、重点国际（地区）合作研究、国家杰出青年基金等项目负责人学院建有国家临床重点专科、上海市重中之重研究中心、上海市公共卫生重点学科、上海市示范性研究型病房、上海市颅颌面发育与疾病重点实验室及口腔融合创新研究院。成立国际口腔创新研究与教育中心，与苏黎世大学、香港大学、奥塔哥大学等国际知名院校开展深度合作，为卓越口腔医学人才的培养提供优质临床教学资源及研究平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培养德智体美劳全面发展，掌握口腔医学核心理论体系与临床技术，具备规范化的临床操作能力、良好的综合素养、创新潜能和国际视野，同时具备应用人工智能技术解决口腔医学中的实际问题能力的应用复合型人才，具备跨学科研究的适应能力与创新能力，且具备团队协作及领导力，能够在多学科的医疗团队中依靠双重学科背景发挥作用。本专业学生应系统掌握基础医学、临床医学及口腔医学基本理论，接受口腔常见病诊疗技术、预防保健及数字化医疗技术的强化训练，重点培养临床思维决策能力、医患沟通能力、科研思维和能力；掌握人工智能领域的基础知识和能力，对口腔医学和人工智能技术的结合有深入理解。要求学生掌握常见病和多发病的诊疗常规，精准施治，具备人文关怀精神、医学伦理素养和终身学习意识，具备从事口腔医学工作的崇高职业道德和人工智能相关领域的素养，能够运用人工智能和现代信息技术解决临床实际问题，形成以患者为中心的医疗服务理念。毕业后能够胜任口腔常见病、多发病的规范化诊疗，开展口腔疾病预防与健康促进工作，具备在医疗机构中成为技术骨干的发展潜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4年级末</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1.品德操行良好，无违反学术诚信、医德医风不良记录；
2.课程修读和绩点要求：根据培养方案完成不少于本科阶段规定应修学分的75%，且累计学业绩点不低于2.8；
3.根据《复旦大学口腔医学院本研融通项目本科学段学术要求》，达到本硕融通项目的学术成果要求。</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1.退出人工智能双学士学位者，修读本硕融通项目；2.退出本硕融通项目者，修读口腔医学-人工智能双学士学位项目；3.退出本硕融通和人工智能双学位学位者，修读口腔医学（五年制）。</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253</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学科基础课程</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专业核心教育课程</w:t>
            </w:r>
            <w:r>
              <w:rPr>
                <w:rFonts w:ascii="SimSun" w:hAnsi="SimSun"/>
                <w:b w:val="false"/>
                <w:i w:val="false"/>
                <w:color w:val="000000"/>
                <w:sz w:val="21"/>
              </w:rPr>
              <w:t xml:space="preserve"> </w:t>
            </w:r>
            <w:r>
              <w:rPr>
                <w:rFonts w:ascii="SimSun" w:hAnsi="SimSun"/>
                <w:b w:val="false"/>
                <w:i w:val="false"/>
                <w:color w:val="000000"/>
                <w:sz w:val="21"/>
              </w:rPr>
              <w:t>114.5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55.5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通过本科毕业理论考和操作考</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41333"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41333" cy="1608667"/>
                    </a:xfrm>
                    <a:prstGeom prst="rect">
                      <a:avLst/>
                    </a:prstGeom>
                  </pic:spPr>
                </pic:pic>
              </a:graphicData>
            </a:graphic>
          </wp:inline>
        </w:drawing>
      </w:r>
    </w:p>
    <w:p>
      <w:pPr>
        <w:spacing w:after="0"/>
        <w:ind w:left="0"/>
        <w:jc w:val="left"/>
      </w:pPr>
      <w:r>
        <w:rPr>
          <w:rFonts w:ascii="SimSun" w:hAnsi="SimSun"/>
          <w:b w:val="false"/>
          <w:i w:val="false"/>
          <w:color w:val="000000"/>
          <w:sz w:val="21"/>
        </w:rPr>
        <w:t>1、本硕融通专业进阶路径：276学分</w:t>
      </w:r>
    </w:p>
    <w:p>
      <w:pPr>
        <w:spacing w:after="0"/>
        <w:ind w:left="0"/>
        <w:jc w:val="left"/>
      </w:pPr>
      <w:r>
        <w:rPr>
          <w:rFonts w:ascii="SimSun" w:hAnsi="SimSun"/>
          <w:b w:val="false"/>
          <w:i w:val="false"/>
          <w:color w:val="000000"/>
          <w:sz w:val="21"/>
        </w:rPr>
        <w:t xml:space="preserve">    本路径学生本硕期间必须修满教学计划规定的276学分，包括通识教育课程40学分、专业培养课程144.5学分、专业进阶模块I修读12学分、本研通用课程14学分，融合创新能力模块65.5学分的修读。</w:t>
      </w:r>
      <w:r>
        <w:br/>
      </w:r>
      <w:r>
        <w:br/>
      </w:r>
      <w:r>
        <w:rPr>
          <w:rFonts w:ascii="SimSun" w:hAnsi="SimSun"/>
          <w:b w:val="false"/>
          <w:i w:val="false"/>
          <w:color w:val="000000"/>
          <w:sz w:val="21"/>
        </w:rPr>
        <w:t xml:space="preserve">    其中，本科学段需要完成253学分（含实践学分不低于88.25学分；含美育学分不少于2学分，其中至少在“美学和艺术史论类”或“艺术鉴赏和评论类”课程中修读1学分，并至少参与一项艺术实践活动；劳动教育不少于32学时，并满足劳动周教育要求），包括通识教育课程37学分、专业培养课程144.5学分、专业进阶模块I修读12学分、融合创新能力模块59.5学分。</w:t>
      </w:r>
    </w:p>
    <w:p>
      <w:pPr>
        <w:spacing w:after="0"/>
        <w:ind w:left="0"/>
        <w:jc w:val="left"/>
      </w:pPr>
      <w:r>
        <w:rPr>
          <w:rFonts w:ascii="SimSun" w:hAnsi="SimSun"/>
          <w:b w:val="false"/>
          <w:i w:val="false"/>
          <w:color w:val="000000"/>
          <w:sz w:val="21"/>
        </w:rPr>
        <w:t>2、 跨学科发展路径：291学分</w:t>
      </w:r>
    </w:p>
    <w:p>
      <w:pPr>
        <w:spacing w:after="0"/>
        <w:ind w:left="0"/>
        <w:jc w:val="left"/>
      </w:pPr>
      <w:r>
        <w:rPr>
          <w:rFonts w:ascii="SimSun" w:hAnsi="SimSun"/>
          <w:b w:val="false"/>
          <w:i w:val="false"/>
          <w:color w:val="000000"/>
          <w:sz w:val="21"/>
        </w:rPr>
        <w:t xml:space="preserve">    在专业进阶路径基础上，修读1个跨学科学程（微专业）15学分（可在研究生学段修读），具体要求见教务处网站学程实施方案。</w:t>
      </w:r>
      <w:r>
        <w:br/>
      </w:r>
      <w:r>
        <w:br/>
      </w:r>
      <w:r>
        <w:rPr>
          <w:rFonts w:ascii="SimSun" w:hAnsi="SimSun"/>
          <w:b w:val="false"/>
          <w:i w:val="false"/>
          <w:color w:val="000000"/>
          <w:sz w:val="21"/>
        </w:rPr>
        <w:t xml:space="preserve">    其中本科学段需要完成268学分，包括通识教育课程37学分、专业培养课程144.5学分、专业进阶模块I修读12学分、融合创新能力模块59.5学分、跨学科学程15学分。</w:t>
      </w:r>
    </w:p>
    <w:p>
      <w:pPr>
        <w:spacing w:after="0"/>
        <w:ind w:left="0"/>
        <w:jc w:val="left"/>
      </w:pPr>
      <w:r>
        <w:rPr>
          <w:rFonts w:ascii="SimSun" w:hAnsi="SimSun"/>
          <w:b/>
          <w:i w:val="false"/>
          <w:color w:val="000000"/>
          <w:sz w:val="24"/>
        </w:rPr>
        <w:t xml:space="preserve">
       六.    学位要求
      </w:t>
      </w:r>
    </w:p>
    <w:p>
      <w:pPr>
        <w:spacing w:after="0"/>
        <w:ind w:left="0"/>
        <w:jc w:val="left"/>
      </w:pPr>
      <w:r>
        <w:rPr>
          <w:b/>
          <w:i w:val="false"/>
          <w:color w:val="000000"/>
          <w:sz w:val="21"/>
        </w:rPr>
        <w:t>（一）本科学位</w:t>
      </w:r>
      <w:r>
        <w:br/>
      </w:r>
      <w:r>
        <w:br/>
      </w:r>
      <w:r>
        <w:rPr>
          <w:rFonts w:ascii="SimSun" w:hAnsi="SimSun"/>
          <w:b w:val="false"/>
          <w:i w:val="false"/>
          <w:color w:val="000000"/>
          <w:sz w:val="21"/>
        </w:rPr>
        <w:t>1. 五年级结束时，五年级结束时，如达到口腔医学-人工智能双学士学位要求者授予医学-工学双学士学位。</w:t>
      </w:r>
      <w:r>
        <w:br/>
      </w:r>
      <w:r>
        <w:br/>
      </w:r>
      <w:r>
        <w:rPr>
          <w:rFonts w:ascii="SimSun" w:hAnsi="SimSun"/>
          <w:b w:val="false"/>
          <w:i w:val="false"/>
          <w:color w:val="000000"/>
          <w:sz w:val="21"/>
        </w:rPr>
        <w:t>（1）修满规定的学分，通过毕业理论考和毕业操作考，达到本科教学培养方案规定的各项要求。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2. 本科学段主动退出和转段考核不合格退出本硕融通计划的学生，需按照口腔医学本科培养方案修读课程，如达到学士学位要求者授予医学学士学位。</w:t>
      </w:r>
      <w:r>
        <w:br/>
      </w:r>
      <w:r>
        <w:br/>
      </w:r>
      <w:r>
        <w:rPr>
          <w:rFonts w:ascii="SimSun" w:hAnsi="SimSun"/>
          <w:b w:val="false"/>
          <w:i w:val="false"/>
          <w:color w:val="000000"/>
          <w:sz w:val="21"/>
        </w:rPr>
        <w:t>3.主动退出口腔医学本硕融通人工智能双学士学位项目的学生，按照口腔医学本硕融通项目培养方案修读课程，学位授予与转段要求按照本硕融通项目执行。</w:t>
      </w:r>
    </w:p>
    <w:p>
      <w:pPr>
        <w:spacing w:after="0"/>
        <w:ind w:left="0"/>
        <w:jc w:val="left"/>
      </w:pPr>
      <w:r>
        <w:rPr>
          <w:b/>
          <w:i w:val="false"/>
          <w:color w:val="000000"/>
          <w:sz w:val="21"/>
        </w:rPr>
        <w:t>（二）硕士学位</w:t>
      </w:r>
      <w:r>
        <w:br/>
      </w:r>
      <w:r>
        <w:br/>
      </w:r>
      <w:r>
        <w:rPr>
          <w:b w:val="false"/>
          <w:i w:val="false"/>
          <w:color w:val="000000"/>
          <w:sz w:val="21"/>
        </w:rPr>
        <w:t>1.达到硕士学位要求者授予医学硕士专业学位。</w:t>
      </w:r>
      <w:r>
        <w:br/>
      </w:r>
      <w:r>
        <w:br/>
      </w:r>
      <w:r>
        <w:rPr>
          <w:b w:val="false"/>
          <w:i w:val="false"/>
          <w:color w:val="000000"/>
          <w:sz w:val="21"/>
        </w:rPr>
        <w:t>（1）必须已修满学校规定的学分，所有修读课程成绩合格，其中研究生学位课程平均绩点不低于 2.5。</w:t>
      </w:r>
      <w:r>
        <w:br/>
      </w:r>
      <w:r>
        <w:br/>
      </w:r>
      <w:r>
        <w:rPr>
          <w:b w:val="false"/>
          <w:i w:val="false"/>
          <w:color w:val="000000"/>
          <w:sz w:val="21"/>
        </w:rPr>
        <w:t>（2）学位论文是研究生用于申请学位的最主要成果和学位评定的主要依据。同时研究生申请学位时须满足下列条件，经学位评定分委员会认定达到硕士学位授予要求。</w:t>
      </w:r>
      <w:r>
        <w:br/>
      </w:r>
      <w:r>
        <w:br/>
      </w:r>
      <w:r>
        <w:rPr>
          <w:b w:val="false"/>
          <w:i w:val="false"/>
          <w:color w:val="000000"/>
          <w:sz w:val="21"/>
        </w:rPr>
        <w:t>申请学位者须获得《医师资格证书》，通过住院医师规范化培训出站考核，获得《住院医师规范化培训合格证书》。同时，申请学位者还须以第一作者、复旦大学（相应招生培养单位）为第一署名单位发表紧密结合本专业实际工作、具有一定学术或应用价值的论著1篇（不含综述、Case Report、Meta-Analysis或不进行临床问题研究的生物信息学论文），所发表杂志须为中国科技论文统计源期刊、JCR三区、中科院三区或以上期刊；或取得其他学位评定分委员会认可的创新性成果。原则上，每项成果只能供一名研究生申请学位使用。如论著发表于Nature、Science、Cell、Lancet、NEJM、BMJ、JAMA等学位评定分委员会认可的重要学术期刊，由研究生及导师申请说明，经所在培养单位评议推荐，学位评定分委员会审议认定，可供2-3名（共同）第一作者研究生申请学位使用。</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b w:val="false"/>
          <w:i w:val="false"/>
          <w:color w:val="000000"/>
          <w:sz w:val="21"/>
        </w:rPr>
        <w:t>1.课程体系</w:t>
      </w:r>
      <w:r>
        <w:br/>
      </w:r>
      <w:r>
        <w:br/>
      </w:r>
      <w:r>
        <w:rPr>
          <w:b w:val="false"/>
          <w:i w:val="false"/>
          <w:color w:val="000000"/>
          <w:sz w:val="21"/>
        </w:rPr>
        <w:t xml:space="preserve">    课程体系由通识教育、大类基础课、专业核心课（包括医学基础课、口腔专业课、人工智能专项核心课）、进阶课程、本研通用课程、融合创新课程模块构成，遵循“通识教育-学科基础-专业核心-研究创新”的体系设计理念，夯实专业基础，通专融合，渐次递进建立专业教育体系。进阶课程为不同年级学生拓展学习，介绍学科内涵和前沿，交叉应用，引导学生在“做中学”，由感性认识深入理性认知，加深对复杂高阶的临床问题的理解并尝试解决。学生在本科学段有机会通过本研通用课程模块提前修读部分研究生课程，有利于加深对口腔医学二、三级学科认识和科研方法学的掌握和应用。</w:t>
      </w:r>
      <w:r>
        <w:br/>
      </w:r>
      <w:r>
        <w:br/>
      </w:r>
      <w:r>
        <w:rPr>
          <w:b w:val="false"/>
          <w:i w:val="false"/>
          <w:color w:val="000000"/>
          <w:sz w:val="21"/>
        </w:rPr>
        <w:t>2.融合创新培养</w:t>
      </w:r>
      <w:r>
        <w:br/>
      </w:r>
      <w:r>
        <w:br/>
      </w:r>
      <w:r>
        <w:rPr>
          <w:b w:val="false"/>
          <w:i w:val="false"/>
          <w:color w:val="000000"/>
          <w:sz w:val="21"/>
        </w:rPr>
        <w:t xml:space="preserve">  建立临床-学术双螺旋递进的全周期科研训练体系，鼓励师生共创，通过大创项目等学生科创活动引导学生由临床实践出发，提出科学问题，制定科研计划，申报和完成课题研究，达到本科学术创新要求。</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（40学分,本科要求37学分）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思政A</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中国近现代史纲要</w:t>
            </w:r>
            <w:r>
              <w:br/>
            </w:r>
            <w:r>
              <w:br/>
            </w:r>
            <w:r>
              <w:rPr>
                <w:rFonts w:ascii="SimSun" w:hAnsi="SimSun"/>
                <w:b w:val="false"/>
                <w:i w:val="false"/>
                <w:color w:val="000000"/>
                <w:sz w:val="21"/>
              </w:rPr>
              <w:t>Conspectus of Chinese Modern History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马克思主义基本原理</w:t>
            </w:r>
            <w:r>
              <w:br/>
            </w:r>
            <w:r>
              <w:br/>
            </w:r>
            <w:r>
              <w:rPr>
                <w:rFonts w:ascii="SimSun" w:hAnsi="SimSun"/>
                <w:b w:val="false"/>
                <w:i w:val="false"/>
                <w:color w:val="000000"/>
                <w:sz w:val="21"/>
              </w:rPr>
              <w:t>The Basic Principles of Marxism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思想道德与法治</w:t>
            </w:r>
            <w:r>
              <w:br/>
            </w:r>
            <w:r>
              <w:br/>
            </w:r>
            <w:r>
              <w:rPr>
                <w:rFonts w:ascii="SimSun" w:hAnsi="SimSun"/>
                <w:b w:val="false"/>
                <w:i w:val="false"/>
                <w:color w:val="000000"/>
                <w:sz w:val="21"/>
              </w:rPr>
              <w:t>Ideology, Morality and the Rule of Law</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毛泽东思想和中国特色社会主义理论体系概论</w:t>
            </w:r>
            <w:r>
              <w:br/>
            </w:r>
            <w:r>
              <w:br/>
            </w:r>
            <w:r>
              <w:rPr>
                <w:rFonts w:ascii="SimSun" w:hAnsi="SimSun"/>
                <w:b w:val="false"/>
                <w:i w:val="false"/>
                <w:color w:val="000000"/>
                <w:sz w:val="21"/>
              </w:rPr>
              <w:t>An Introduction to MaoZedong Thought and the Theoretical System of Socialism with Chinese Character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习近平新时代中国特色社会主义思想概论</w:t>
            </w:r>
            <w:r>
              <w:br/>
            </w:r>
            <w:r>
              <w:br/>
            </w:r>
            <w:r>
              <w:rPr>
                <w:rFonts w:ascii="SimSun" w:hAnsi="SimSun"/>
                <w:b w:val="false"/>
                <w:i w:val="false"/>
                <w:color w:val="000000"/>
                <w:sz w:val="21"/>
              </w:rPr>
              <w:t>Introduction to Xi Jinping Thought on Socialism with Chinese Characteristics for a New 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强国之路：形势、政策与使命Ⅰ</w:t>
            </w:r>
            <w:r>
              <w:br/>
            </w:r>
            <w:r>
              <w:br/>
            </w:r>
            <w:r>
              <w:rPr>
                <w:rFonts w:ascii="SimSun" w:hAnsi="SimSun"/>
                <w:b w:val="false"/>
                <w:i w:val="false"/>
                <w:color w:val="000000"/>
                <w:sz w:val="21"/>
              </w:rPr>
              <w:t>The Path of Building a Powerful Country: Situation Policy and Mission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强国之路：形势、政策与使命Ⅱ</w:t>
            </w:r>
            <w:r>
              <w:br/>
            </w:r>
            <w:r>
              <w:br/>
            </w:r>
            <w:r>
              <w:rPr>
                <w:rFonts w:ascii="SimSun" w:hAnsi="SimSun"/>
                <w:b w:val="false"/>
                <w:i w:val="false"/>
                <w:color w:val="000000"/>
                <w:sz w:val="21"/>
              </w:rPr>
              <w:t>The Path of Building a Powerful Country: Situation Policy and Mission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强国之路：形势、政策与使命Ⅲ</w:t>
            </w:r>
            <w:r>
              <w:br/>
            </w:r>
            <w:r>
              <w:br/>
            </w:r>
            <w:r>
              <w:rPr>
                <w:rFonts w:ascii="SimSun" w:hAnsi="SimSun"/>
                <w:b w:val="false"/>
                <w:i w:val="false"/>
                <w:color w:val="000000"/>
                <w:sz w:val="21"/>
              </w:rPr>
              <w:t>The Path of Building a Powerful Country: Situation Policy and Mission Ⅲ</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强国之路：形势、政策与使命Ⅳ</w:t>
            </w:r>
            <w:r>
              <w:br/>
            </w:r>
            <w:r>
              <w:br/>
            </w:r>
            <w:r>
              <w:rPr>
                <w:rFonts w:ascii="SimSun" w:hAnsi="SimSun"/>
                <w:b w:val="false"/>
                <w:i w:val="false"/>
                <w:color w:val="000000"/>
                <w:sz w:val="21"/>
              </w:rPr>
              <w:t>The Path of Building a Powerful Country: Situation Policy and Mission Ⅳ</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思政B</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中国共产党历史</w:t>
            </w:r>
            <w:r>
              <w:br/>
            </w:r>
            <w:r>
              <w:br/>
            </w:r>
            <w:r>
              <w:rPr>
                <w:rFonts w:ascii="SimSun" w:hAnsi="SimSun"/>
                <w:b w:val="false"/>
                <w:i w:val="false"/>
                <w:color w:val="000000"/>
                <w:sz w:val="21"/>
              </w:rPr>
              <w:t>The History of the Communist Party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新中国史</w:t>
            </w:r>
            <w:r>
              <w:br/>
            </w:r>
            <w:r>
              <w:br/>
            </w:r>
            <w:r>
              <w:rPr>
                <w:rFonts w:ascii="SimSun" w:hAnsi="SimSun"/>
                <w:b w:val="false"/>
                <w:i w:val="false"/>
                <w:color w:val="000000"/>
                <w:sz w:val="21"/>
              </w:rPr>
              <w:t>The History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改革开放史</w:t>
            </w:r>
            <w:r>
              <w:br/>
            </w:r>
            <w:r>
              <w:br/>
            </w:r>
            <w:r>
              <w:rPr>
                <w:rFonts w:ascii="SimSun" w:hAnsi="SimSun"/>
                <w:b w:val="false"/>
                <w:i w:val="false"/>
                <w:color w:val="000000"/>
                <w:sz w:val="21"/>
              </w:rPr>
              <w:t>The History of Reform And Open Up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社会主义发展史</w:t>
            </w:r>
            <w:r>
              <w:br/>
            </w:r>
            <w:r>
              <w:br/>
            </w:r>
            <w:r>
              <w:rPr>
                <w:rFonts w:ascii="SimSun" w:hAnsi="SimSun"/>
                <w:b w:val="false"/>
                <w:i w:val="false"/>
                <w:color w:val="000000"/>
                <w:sz w:val="21"/>
              </w:rPr>
              <w:t>The History of the Development of Socialism</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研究生政治课程</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要求研究生学段修读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新时代中国特色社会主义理论与实践</w:t>
            </w:r>
            <w:r>
              <w:br/>
            </w:r>
            <w:r>
              <w:br/>
            </w:r>
            <w:r>
              <w:rPr>
                <w:rFonts w:ascii="SimSun" w:hAnsi="SimSun"/>
                <w:b w:val="false"/>
                <w:i w:val="false"/>
                <w:color w:val="000000"/>
                <w:sz w:val="21"/>
              </w:rPr>
              <w:t>Theory and Practice of Socialism with Chinese Characteristics in the New Era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自然辩证法</w:t>
            </w:r>
            <w:r>
              <w:br/>
            </w:r>
            <w:r>
              <w:br/>
            </w:r>
            <w:r>
              <w:rPr>
                <w:rFonts w:ascii="SimSun" w:hAnsi="SimSun"/>
                <w:b w:val="false"/>
                <w:i w:val="false"/>
                <w:color w:val="000000"/>
                <w:sz w:val="21"/>
              </w:rPr>
              <w:t>Dialectics of Nature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马克思主义与社会科学方法论</w:t>
            </w:r>
            <w:r>
              <w:br/>
            </w:r>
            <w:r>
              <w:br/>
            </w:r>
            <w:r>
              <w:rPr>
                <w:rFonts w:ascii="SimSun" w:hAnsi="SimSun"/>
                <w:b w:val="false"/>
                <w:i w:val="false"/>
                <w:color w:val="000000"/>
                <w:sz w:val="21"/>
              </w:rPr>
              <w:t>Marxism and Methodology of Social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自然辨证法概论</w:t>
            </w:r>
            <w:r>
              <w:br/>
            </w:r>
            <w:r>
              <w:br/>
            </w:r>
            <w:r>
              <w:rPr>
                <w:rFonts w:ascii="SimSun" w:hAnsi="SimSun"/>
                <w:b w:val="false"/>
                <w:i w:val="false"/>
                <w:color w:val="000000"/>
                <w:sz w:val="21"/>
              </w:rPr>
              <w:t>Introduction to Dialectics of Nature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核心课程七大模块</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国家安全教育</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（11学分,本科要求11学分）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要求至少修读11学分，英语分级考试B、Y级学生修读13学分。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大学外语</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新生英语分级考试A级学生至少修读2学分，且必须是“大学英语高阶课程”或“第二外语课程”。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新生英语分级考试B级学生至少修读4学分，包括2学分的“大学英语进阶课程”和2学分的“大学英语高阶课程”。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新生英语分级考试Y级学生至少修读4学分，包括2学分的“大学英语基础课程”和2学分的“大学英语进阶课程”。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体育课程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军事课程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创新创意创业</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心理健康教育课程</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(6) 实验室安全教育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学生选择高等数学A、数学分析A、数学分析B中一组修读即可。学科基础课程中8门课程均为必修。
      </w:t>
      </w:r>
    </w:p>
    <w:tbl>
      <w:tblPr>
        <w:tblW w:w="0" w:type="auto"/>
        <w:tblCellSpacing w:w="0" w:type="auto"/>
        <w:tblBorders>
          <w:top w:val="none"/>
          <w:left w:val="none"/>
          <w:bottom w:val="none"/>
          <w:right w:val="none"/>
          <w:insideH w:val="none"/>
          <w:insideV w:val="none"/>
        </w:tblBorders>
      </w:tblPr>
      <w:tblGrid>
        <w:gridCol w:w="2036"/>
        <w:gridCol w:w="2713"/>
        <w:gridCol w:w="676"/>
        <w:gridCol w:w="679"/>
        <w:gridCol w:w="944"/>
        <w:gridCol w:w="1585"/>
        <w:gridCol w:w="678"/>
        <w:gridCol w:w="676"/>
        <w:gridCol w:w="676"/>
        <w:gridCol w:w="676"/>
        <w:gridCol w:w="946"/>
        <w:gridCol w:w="1349"/>
      </w:tblGrid>
      <w:tr>
        <w:trPr>
          <w:trHeight w:val="45" w:hRule="atLeast"/>
        </w:trPr>
        <w:tc>
          <w:tcPr>
            <w:tcW w:w="2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学科基础课程</w:t>
            </w:r>
            <w:r>
              <w:br/>
            </w:r>
            <w:r>
              <w:br/>
            </w:r>
            <w:r>
              <w:rPr>
                <w:rFonts w:ascii="SimSun" w:hAnsi="SimSun"/>
                <w:b w:val="false"/>
                <w:i w:val="false"/>
                <w:color w:val="000000"/>
                <w:sz w:val="21"/>
              </w:rPr>
              <w:t>Major Foundation Courses</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专业核心教育课程</w:t>
      </w:r>
      <w:r>
        <w:rPr>
          <w:rFonts w:ascii="SimSun" w:hAnsi="SimSun"/>
          <w:b/>
          <w:i w:val="false"/>
          <w:color w:val="000000"/>
          <w:sz w:val="21"/>
        </w:rPr>
        <w:t>（114.5学分,本科要求114.5学分）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包括口腔医学和人工智能专业核心课程，要求修读114.5学分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r>
              <w:rPr>
                <w:rFonts w:ascii="SimSun" w:hAnsi="SimSun"/>
                <w:b w:val="false"/>
                <w:i w:val="false"/>
                <w:color w:val="000000"/>
                <w:sz w:val="21"/>
              </w:rPr>
              <w:t>Human molecules and cells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w:t>
            </w:r>
            <w:r>
              <w:br/>
            </w:r>
            <w:r>
              <w:br/>
            </w:r>
            <w:r>
              <w:rPr>
                <w:rFonts w:ascii="SimSun" w:hAnsi="SimSun"/>
                <w:b w:val="false"/>
                <w:i w:val="false"/>
                <w:color w:val="000000"/>
                <w:sz w:val="21"/>
              </w:rPr>
              <w:t>Foundations endocrine and reproductive system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病理生理学C</w:t>
            </w:r>
            <w:r>
              <w:br/>
            </w:r>
            <w:r>
              <w:br/>
            </w:r>
            <w:r>
              <w:rPr>
                <w:rFonts w:ascii="SimSun" w:hAnsi="SimSun"/>
                <w:b w:val="false"/>
                <w:i w:val="false"/>
                <w:color w:val="000000"/>
                <w:sz w:val="21"/>
              </w:rPr>
              <w:t>Pathophysiology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病理学</w:t>
            </w:r>
            <w:r>
              <w:br/>
            </w:r>
            <w:r>
              <w:br/>
            </w:r>
            <w:r>
              <w:rPr>
                <w:rFonts w:ascii="SimSun" w:hAnsi="SimSun"/>
                <w:b w:val="false"/>
                <w:i w:val="false"/>
                <w:color w:val="000000"/>
                <w:sz w:val="21"/>
              </w:rPr>
              <w:t>Pathology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r>
              <w:br/>
            </w:r>
            <w:r>
              <w:br/>
            </w:r>
            <w:r>
              <w:rPr>
                <w:rFonts w:ascii="SimSun" w:hAnsi="SimSun"/>
                <w:b w:val="false"/>
                <w:i w:val="false"/>
                <w:color w:val="000000"/>
                <w:sz w:val="21"/>
              </w:rPr>
              <w:t>Preventive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w:t>
            </w:r>
            <w:r>
              <w:br/>
            </w:r>
            <w:r>
              <w:br/>
            </w:r>
            <w:r>
              <w:rPr>
                <w:rFonts w:ascii="SimSun" w:hAnsi="SimSun"/>
                <w:b w:val="false"/>
                <w:i w:val="false"/>
                <w:color w:val="000000"/>
                <w:sz w:val="21"/>
              </w:rPr>
              <w:t>Internal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w:t>
            </w:r>
            <w:r>
              <w:br/>
            </w:r>
            <w:r>
              <w:br/>
            </w:r>
            <w:r>
              <w:rPr>
                <w:rFonts w:ascii="SimSun" w:hAnsi="SimSun"/>
                <w:b w:val="false"/>
                <w:i w:val="false"/>
                <w:color w:val="000000"/>
                <w:sz w:val="21"/>
              </w:rPr>
              <w:t>Health Law</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医学伦理学</w:t>
            </w:r>
            <w:r>
              <w:br/>
            </w:r>
            <w:r>
              <w:br/>
            </w:r>
            <w:r>
              <w:rPr>
                <w:rFonts w:ascii="SimSun" w:hAnsi="SimSun"/>
                <w:b w:val="false"/>
                <w:i w:val="false"/>
                <w:color w:val="000000"/>
                <w:sz w:val="21"/>
              </w:rPr>
              <w:t>Medical Ethics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卫生统计学A</w:t>
            </w:r>
            <w:r>
              <w:br/>
            </w:r>
            <w:r>
              <w:br/>
            </w:r>
            <w:r>
              <w:rPr>
                <w:rFonts w:ascii="SimSun" w:hAnsi="SimSun"/>
                <w:b w:val="false"/>
                <w:i w:val="false"/>
                <w:color w:val="000000"/>
                <w:sz w:val="21"/>
              </w:rPr>
              <w:t>Health Statistics 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妇产科学总论</w:t>
            </w:r>
            <w:r>
              <w:br/>
            </w:r>
            <w:r>
              <w:br/>
            </w:r>
            <w:r>
              <w:rPr>
                <w:rFonts w:ascii="SimSun" w:hAnsi="SimSun"/>
                <w:b w:val="false"/>
                <w:i w:val="false"/>
                <w:color w:val="000000"/>
                <w:sz w:val="21"/>
              </w:rPr>
              <w:t>Introduction of Obstetrics and Gynaecology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儿科学总论</w:t>
            </w:r>
            <w:r>
              <w:br/>
            </w:r>
            <w:r>
              <w:br/>
            </w:r>
            <w:r>
              <w:rPr>
                <w:rFonts w:ascii="SimSun" w:hAnsi="SimSun"/>
                <w:b w:val="false"/>
                <w:i w:val="false"/>
                <w:color w:val="000000"/>
                <w:sz w:val="21"/>
              </w:rPr>
              <w:t>Pediatrics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口腔解剖生理学</w:t>
            </w:r>
            <w:r>
              <w:br/>
            </w:r>
            <w:r>
              <w:br/>
            </w:r>
            <w:r>
              <w:rPr>
                <w:rFonts w:ascii="SimSun" w:hAnsi="SimSun"/>
                <w:b w:val="false"/>
                <w:i w:val="false"/>
                <w:color w:val="000000"/>
                <w:sz w:val="21"/>
              </w:rPr>
              <w:t>Oral Anatomy and Physiology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口腔组织病理学</w:t>
            </w:r>
            <w:r>
              <w:br/>
            </w:r>
            <w:r>
              <w:br/>
            </w:r>
            <w:r>
              <w:rPr>
                <w:rFonts w:ascii="SimSun" w:hAnsi="SimSun"/>
                <w:b w:val="false"/>
                <w:i w:val="false"/>
                <w:color w:val="000000"/>
                <w:sz w:val="21"/>
              </w:rPr>
              <w:t>Oral Histology and Pathology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口腔黏膜病学</w:t>
            </w:r>
            <w:r>
              <w:br/>
            </w:r>
            <w:r>
              <w:br/>
            </w:r>
            <w:r>
              <w:rPr>
                <w:rFonts w:ascii="SimSun" w:hAnsi="SimSun"/>
                <w:b w:val="false"/>
                <w:i w:val="false"/>
                <w:color w:val="000000"/>
                <w:sz w:val="21"/>
              </w:rPr>
              <w:t>Oral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口腔颌面外科学</w:t>
            </w:r>
            <w:r>
              <w:br/>
            </w:r>
            <w:r>
              <w:br/>
            </w:r>
            <w:r>
              <w:rPr>
                <w:rFonts w:ascii="SimSun" w:hAnsi="SimSun"/>
                <w:b w:val="false"/>
                <w:i w:val="false"/>
                <w:color w:val="000000"/>
                <w:sz w:val="21"/>
              </w:rPr>
              <w:t>Oral and Maxillofacial Surgery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口腔修复学（上）</w:t>
            </w:r>
            <w:r>
              <w:br/>
            </w:r>
            <w:r>
              <w:br/>
            </w:r>
            <w:r>
              <w:rPr>
                <w:rFonts w:ascii="SimSun" w:hAnsi="SimSun"/>
                <w:b w:val="false"/>
                <w:i w:val="false"/>
                <w:color w:val="000000"/>
                <w:sz w:val="21"/>
              </w:rPr>
              <w:t>Prothodontics 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口腔颌面医学影像诊断学</w:t>
            </w:r>
            <w:r>
              <w:br/>
            </w:r>
            <w:r>
              <w:br/>
            </w:r>
            <w:r>
              <w:rPr>
                <w:rFonts w:ascii="SimSun" w:hAnsi="SimSun"/>
                <w:b w:val="false"/>
                <w:i w:val="false"/>
                <w:color w:val="000000"/>
                <w:sz w:val="21"/>
              </w:rPr>
              <w:t>Diagnosis of Oral &amp; Maxillofacial Medical Imaging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牙体牙髓病学</w:t>
            </w:r>
            <w:r>
              <w:br/>
            </w:r>
            <w:r>
              <w:br/>
            </w:r>
            <w:r>
              <w:rPr>
                <w:rFonts w:ascii="SimSun" w:hAnsi="SimSun"/>
                <w:b w:val="false"/>
                <w:i w:val="false"/>
                <w:color w:val="000000"/>
                <w:sz w:val="21"/>
              </w:rPr>
              <w:t>Endodontics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牙周病学</w:t>
            </w:r>
            <w:r>
              <w:br/>
            </w:r>
            <w:r>
              <w:br/>
            </w:r>
            <w:r>
              <w:rPr>
                <w:rFonts w:ascii="SimSun" w:hAnsi="SimSun"/>
                <w:b w:val="false"/>
                <w:i w:val="false"/>
                <w:color w:val="000000"/>
                <w:sz w:val="21"/>
              </w:rPr>
              <w:t>Periodontology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口腔预防医学</w:t>
            </w:r>
            <w:r>
              <w:br/>
            </w:r>
            <w:r>
              <w:br/>
            </w:r>
            <w:r>
              <w:rPr>
                <w:rFonts w:ascii="SimSun" w:hAnsi="SimSun"/>
                <w:b w:val="false"/>
                <w:i w:val="false"/>
                <w:color w:val="000000"/>
                <w:sz w:val="21"/>
              </w:rPr>
              <w:t>Preventive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口腔颌面整合肿瘤学</w:t>
            </w:r>
            <w:r>
              <w:br/>
            </w:r>
            <w:r>
              <w:br/>
            </w:r>
            <w:r>
              <w:rPr>
                <w:rFonts w:ascii="SimSun" w:hAnsi="SimSun"/>
                <w:b w:val="false"/>
                <w:i w:val="false"/>
                <w:color w:val="000000"/>
                <w:sz w:val="21"/>
              </w:rPr>
              <w:t>Oral and Maxillofacial Oncology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口腔修复学（下）</w:t>
            </w:r>
            <w:r>
              <w:br/>
            </w:r>
            <w:r>
              <w:br/>
            </w:r>
            <w:r>
              <w:rPr>
                <w:rFonts w:ascii="SimSun" w:hAnsi="SimSun"/>
                <w:b w:val="false"/>
                <w:i w:val="false"/>
                <w:color w:val="000000"/>
                <w:sz w:val="21"/>
              </w:rPr>
              <w:t>Prothodontics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儿童口腔医学</w:t>
            </w:r>
            <w:r>
              <w:br/>
            </w:r>
            <w:r>
              <w:br/>
            </w:r>
            <w:r>
              <w:rPr>
                <w:rFonts w:ascii="SimSun" w:hAnsi="SimSun"/>
                <w:b w:val="false"/>
                <w:i w:val="false"/>
                <w:color w:val="000000"/>
                <w:sz w:val="21"/>
              </w:rPr>
              <w:t>Pediatric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口腔正畸学</w:t>
            </w:r>
            <w:r>
              <w:br/>
            </w:r>
            <w:r>
              <w:br/>
            </w:r>
            <w:r>
              <w:rPr>
                <w:rFonts w:ascii="SimSun" w:hAnsi="SimSun"/>
                <w:b w:val="false"/>
                <w:i w:val="false"/>
                <w:color w:val="000000"/>
                <w:sz w:val="21"/>
              </w:rPr>
              <w:t>Orthodontics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口腔种植学</w:t>
            </w:r>
            <w:r>
              <w:br/>
            </w:r>
            <w:r>
              <w:br/>
            </w:r>
            <w:r>
              <w:rPr>
                <w:rFonts w:ascii="SimSun" w:hAnsi="SimSun"/>
                <w:b w:val="false"/>
                <w:i w:val="false"/>
                <w:color w:val="000000"/>
                <w:sz w:val="21"/>
              </w:rPr>
              <w:t>Oral Implantology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(四)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包括本研融通专业进阶路径、跨学科发展路径，要求在院系专业导师指导下选择1条发展路径，按路径要求修读课程。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修满26学分。要求在本专业专业进阶模块I修读12学分，本研通用课程模块修读14学分。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专业进阶路径Ⅰ</w:t>
      </w:r>
      <w:r>
        <w:rPr>
          <w:rFonts w:ascii="SimSun" w:hAnsi="SimSun"/>
          <w:b/>
          <w:i w:val="false"/>
          <w:color w:val="000000"/>
          <w:sz w:val="21"/>
        </w:rPr>
        <w:t>（12学分,本科要求12学分）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A组必修6学分，B组选修6学分
      </w:t>
      </w:r>
    </w:p>
    <w:tbl>
      <w:tblPr>
        <w:tblW w:w="0" w:type="auto"/>
        <w:tblCellSpacing w:w="0" w:type="auto"/>
        <w:tblBorders>
          <w:top w:val="none"/>
          <w:left w:val="none"/>
          <w:bottom w:val="none"/>
          <w:right w:val="none"/>
          <w:insideH w:val="none"/>
          <w:insideV w:val="none"/>
        </w:tblBorders>
      </w:tblPr>
      <w:tblGrid>
        <w:gridCol w:w="2034"/>
        <w:gridCol w:w="2724"/>
        <w:gridCol w:w="680"/>
        <w:gridCol w:w="680"/>
        <w:gridCol w:w="950"/>
        <w:gridCol w:w="1538"/>
        <w:gridCol w:w="681"/>
        <w:gridCol w:w="679"/>
        <w:gridCol w:w="679"/>
        <w:gridCol w:w="680"/>
        <w:gridCol w:w="951"/>
        <w:gridCol w:w="1358"/>
      </w:tblGrid>
      <w:tr>
        <w:trPr>
          <w:trHeight w:val="45" w:hRule="atLeast"/>
        </w:trPr>
        <w:tc>
          <w:tcPr>
            <w:tcW w:w="20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A组必修6学分</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口腔医学导论</w:t>
            </w:r>
            <w:r>
              <w:br/>
            </w:r>
            <w:r>
              <w:br/>
            </w:r>
            <w:r>
              <w:rPr>
                <w:rFonts w:ascii="SimSun" w:hAnsi="SimSun"/>
                <w:b w:val="false"/>
                <w:i w:val="false"/>
                <w:color w:val="000000"/>
                <w:sz w:val="21"/>
              </w:rPr>
              <w:t>Introduction of Stomatology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STOM10002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走近口腔医学Ⅰ</w:t>
            </w:r>
            <w:r>
              <w:br/>
            </w:r>
            <w:r>
              <w:br/>
            </w:r>
            <w:r>
              <w:rPr>
                <w:rFonts w:ascii="SimSun" w:hAnsi="SimSun"/>
                <w:b w:val="false"/>
                <w:i w:val="false"/>
                <w:color w:val="000000"/>
                <w:sz w:val="21"/>
              </w:rPr>
              <w:t>Introduction to Community and Clinical Dentistry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走进口腔医学II</w:t>
            </w:r>
            <w:r>
              <w:br/>
            </w:r>
            <w:r>
              <w:br/>
            </w:r>
            <w:r>
              <w:rPr>
                <w:rFonts w:ascii="SimSun" w:hAnsi="SimSun"/>
                <w:b w:val="false"/>
                <w:i w:val="false"/>
                <w:color w:val="000000"/>
                <w:sz w:val="21"/>
              </w:rPr>
              <w:t>Foundations of Dental Practice and Communication</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STOM20004</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口腔材料学</w:t>
            </w:r>
            <w:r>
              <w:br/>
            </w:r>
            <w:r>
              <w:br/>
            </w:r>
            <w:r>
              <w:rPr>
                <w:rFonts w:ascii="SimSun" w:hAnsi="SimSun"/>
                <w:b w:val="false"/>
                <w:i w:val="false"/>
                <w:color w:val="000000"/>
                <w:sz w:val="21"/>
              </w:rPr>
              <w:t>Dental Materials Science</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牙合学</w:t>
            </w:r>
            <w:r>
              <w:br/>
            </w:r>
            <w:r>
              <w:br/>
            </w:r>
            <w:r>
              <w:rPr>
                <w:rFonts w:ascii="SimSun" w:hAnsi="SimSun"/>
                <w:b w:val="false"/>
                <w:i w:val="false"/>
                <w:color w:val="000000"/>
                <w:sz w:val="21"/>
              </w:rPr>
              <w:t>Occlusiology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28</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B组选修6学分</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医学影像深度学习</w:t>
            </w:r>
            <w:r>
              <w:br/>
            </w:r>
            <w:r>
              <w:br/>
            </w:r>
            <w:r>
              <w:rPr>
                <w:rFonts w:ascii="SimSun" w:hAnsi="SimSun"/>
                <w:b w:val="false"/>
                <w:i w:val="false"/>
                <w:color w:val="000000"/>
                <w:sz w:val="21"/>
              </w:rPr>
              <w:t>Deep Learning for Medical Image Analysis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智慧医疗应用拓展</w:t>
            </w:r>
            <w:r>
              <w:br/>
            </w:r>
            <w:r>
              <w:br/>
            </w:r>
            <w:r>
              <w:rPr>
                <w:rFonts w:ascii="SimSun" w:hAnsi="SimSun"/>
                <w:b w:val="false"/>
                <w:i w:val="false"/>
                <w:color w:val="000000"/>
                <w:sz w:val="21"/>
              </w:rPr>
              <w:t>Expansion of Wisdom Medical</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AIT531027</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Experiments of medical functional science</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医学大数据与人工智能</w:t>
            </w:r>
            <w:r>
              <w:br/>
            </w:r>
            <w:r>
              <w:br/>
            </w:r>
            <w:r>
              <w:rPr>
                <w:rFonts w:ascii="SimSun" w:hAnsi="SimSun"/>
                <w:b w:val="false"/>
                <w:i w:val="false"/>
                <w:color w:val="000000"/>
                <w:sz w:val="21"/>
              </w:rPr>
              <w:t>Medical Big Data and Artificial Intelligence</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人工智能在临床医学研究中的实际应用</w:t>
            </w:r>
            <w:r>
              <w:br/>
            </w:r>
            <w:r>
              <w:br/>
            </w:r>
            <w:r>
              <w:rPr>
                <w:rFonts w:ascii="SimSun" w:hAnsi="SimSun"/>
                <w:b w:val="false"/>
                <w:i w:val="false"/>
                <w:color w:val="000000"/>
                <w:sz w:val="21"/>
              </w:rPr>
              <w:t>Application of AI in Medical Clinical Research</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AIT531026</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w:t>
            </w:r>
            <w:r>
              <w:br/>
            </w:r>
            <w:r>
              <w:br/>
            </w:r>
            <w:r>
              <w:rPr>
                <w:rFonts w:ascii="SimSun" w:hAnsi="SimSun"/>
                <w:b w:val="false"/>
                <w:i w:val="false"/>
                <w:color w:val="000000"/>
                <w:sz w:val="21"/>
              </w:rPr>
              <w:t>Infectious diseases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MED30091</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基于口腔疾病的多学科教学</w:t>
            </w:r>
            <w:r>
              <w:br/>
            </w:r>
            <w:r>
              <w:br/>
            </w:r>
            <w:r>
              <w:rPr>
                <w:rFonts w:ascii="SimSun" w:hAnsi="SimSun"/>
                <w:b w:val="false"/>
                <w:i w:val="false"/>
                <w:color w:val="000000"/>
                <w:sz w:val="21"/>
              </w:rPr>
              <w:t>Problem- based learning（stomatology）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口腔专业英语</w:t>
            </w:r>
            <w:r>
              <w:br/>
            </w:r>
            <w:r>
              <w:br/>
            </w:r>
            <w:r>
              <w:rPr>
                <w:rFonts w:ascii="SimSun" w:hAnsi="SimSun"/>
                <w:b w:val="false"/>
                <w:i w:val="false"/>
                <w:color w:val="000000"/>
                <w:sz w:val="21"/>
              </w:rPr>
              <w:t>English in Stomatology</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9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STOM40017</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 Ⅱ（本研通用课程模块）</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895"/>
        <w:gridCol w:w="723"/>
        <w:gridCol w:w="723"/>
        <w:gridCol w:w="1013"/>
        <w:gridCol w:w="1514"/>
        <w:gridCol w:w="723"/>
        <w:gridCol w:w="723"/>
        <w:gridCol w:w="723"/>
        <w:gridCol w:w="2133"/>
        <w:gridCol w:w="1014"/>
        <w:gridCol w:w="1450"/>
      </w:tblGrid>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临床思维与人际沟通</w:t>
            </w:r>
            <w:r>
              <w:br/>
            </w:r>
            <w:r>
              <w:br/>
            </w:r>
            <w:r>
              <w:rPr>
                <w:rFonts w:ascii="SimSun" w:hAnsi="SimSun"/>
                <w:b w:val="false"/>
                <w:i w:val="false"/>
                <w:color w:val="000000"/>
                <w:sz w:val="21"/>
              </w:rPr>
              <w:t>Clinical Thinking and Interpersonal Communication</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MED50043</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网络教学</w:t>
            </w: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预防医学与公共卫生</w:t>
            </w:r>
            <w:r>
              <w:br/>
            </w:r>
            <w:r>
              <w:br/>
            </w:r>
            <w:r>
              <w:rPr>
                <w:rFonts w:ascii="SimSun" w:hAnsi="SimSun"/>
                <w:b w:val="false"/>
                <w:i w:val="false"/>
                <w:color w:val="000000"/>
                <w:sz w:val="21"/>
              </w:rPr>
              <w:t>Preventive Medicine and Public Health</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MED50044</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网络教学</w:t>
            </w: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卫生法律法规</w:t>
            </w:r>
            <w:r>
              <w:br/>
            </w:r>
            <w:r>
              <w:br/>
            </w:r>
            <w:r>
              <w:rPr>
                <w:rFonts w:ascii="SimSun" w:hAnsi="SimSun"/>
                <w:b w:val="false"/>
                <w:i w:val="false"/>
                <w:color w:val="000000"/>
                <w:sz w:val="21"/>
              </w:rPr>
              <w:t>Health-related Laws and Regulations</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MED50045</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网络教学</w:t>
            </w: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循证医学</w:t>
            </w:r>
            <w:r>
              <w:br/>
            </w:r>
            <w:r>
              <w:br/>
            </w:r>
            <w:r>
              <w:rPr>
                <w:rFonts w:ascii="SimSun" w:hAnsi="SimSun"/>
                <w:b w:val="false"/>
                <w:i w:val="false"/>
                <w:color w:val="000000"/>
                <w:sz w:val="21"/>
              </w:rPr>
              <w:t>Evidence-based Medicine</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MED50046</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网络教学</w:t>
            </w: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重点传染病防治知识</w:t>
            </w:r>
            <w:r>
              <w:br/>
            </w:r>
            <w:r>
              <w:br/>
            </w:r>
            <w:r>
              <w:rPr>
                <w:rFonts w:ascii="SimSun" w:hAnsi="SimSun"/>
                <w:b w:val="false"/>
                <w:i w:val="false"/>
                <w:color w:val="000000"/>
                <w:sz w:val="21"/>
              </w:rPr>
              <w:t>Prevention of Major Infectious Diseases</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MED50047</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网络教学</w:t>
            </w: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专业理论课1</w:t>
            </w:r>
            <w:r>
              <w:br/>
            </w:r>
            <w:r>
              <w:br/>
            </w:r>
            <w:r>
              <w:rPr>
                <w:rFonts w:ascii="SimSun" w:hAnsi="SimSun"/>
                <w:b w:val="false"/>
                <w:i w:val="false"/>
                <w:color w:val="000000"/>
                <w:sz w:val="21"/>
              </w:rPr>
              <w:t>Specialty Theory: Course I</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MED60105</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专业理论课2</w:t>
            </w:r>
            <w:r>
              <w:br/>
            </w:r>
            <w:r>
              <w:br/>
            </w:r>
            <w:r>
              <w:rPr>
                <w:rFonts w:ascii="SimSun" w:hAnsi="SimSun"/>
                <w:b w:val="false"/>
                <w:i w:val="false"/>
                <w:color w:val="000000"/>
                <w:sz w:val="21"/>
              </w:rPr>
              <w:t>Specialty Theory: Course II</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MED60106</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w:t>
            </w:r>
            <w:r>
              <w:br/>
            </w:r>
            <w:r>
              <w:br/>
            </w:r>
            <w:r>
              <w:rPr>
                <w:rFonts w:ascii="SimSun" w:hAnsi="SimSun"/>
                <w:b w:val="false"/>
                <w:i w:val="false"/>
                <w:color w:val="000000"/>
                <w:sz w:val="21"/>
              </w:rPr>
              <w:t>Medical Information Retrieval and Application</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MLIS50019</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8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临床科研方法与研究设计</w:t>
            </w:r>
            <w:r>
              <w:br/>
            </w:r>
            <w:r>
              <w:br/>
            </w:r>
            <w:r>
              <w:rPr>
                <w:rFonts w:ascii="SimSun" w:hAnsi="SimSun"/>
                <w:b w:val="false"/>
                <w:i w:val="false"/>
                <w:color w:val="000000"/>
                <w:sz w:val="21"/>
              </w:rPr>
              <w:t>Clinical Research Methods and Design of Study</w:t>
            </w:r>
          </w:p>
        </w:tc>
        <w:tc>
          <w:tcPr>
            <w:tcW w:w="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MED60077</w:t>
            </w:r>
          </w:p>
        </w:tc>
        <w:tc>
          <w:tcPr>
            <w:tcW w:w="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5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修满41学分。要求在本专业专业进阶模块I修读12学分、本研通用课程模块修读14学分、1个非本专业独立开设的微专业（学程）15学分。学程课程具体要求见教务处网站学程实施方案。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(五) 融合创新能力</w:t>
      </w:r>
      <w:r>
        <w:rPr>
          <w:rFonts w:ascii="SimSun" w:hAnsi="SimSun"/>
          <w:b/>
          <w:i w:val="false"/>
          <w:color w:val="000000"/>
          <w:sz w:val="21"/>
        </w:rPr>
        <w:t>（65.5学分）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临床-学术双螺旋”培养模式，通过本科学段的内、外科实习和口腔医学专业实习，以及研究生学段口腔二级学科轮转，循序渐进地强化学生的知识学习和技能训练，促进知识转化，逐步深化系统性诊疗思维的建立，培养多学科思维和复杂病例诊疗能力，精进高阶临床技能，引导学生在医疗实践中形成科学问题。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全周期的科研训练体系，在一年级开设《口腔医学导论》，介绍学科前沿进展；设立《早接触科研思维训练》培养科研思维，制定科研计划，逐步形成创新思维，并熟悉常见的科研方法和技术。
       </w:t>
      </w:r>
      <w:r>
        <w:br/>
      </w:r>
      <w:r>
        <w:rPr>
          <w:rFonts w:ascii="SimSun" w:hAnsi="SimSun"/>
          <w:b w:val="false"/>
          <w:i w:val="false"/>
          <w:color w:val="000000"/>
          <w:sz w:val="21"/>
        </w:rPr>
        <w:t xml:space="preserve">
       </w:t>
      </w:r>
      <w:r>
        <w:br/>
      </w:r>
      <w:r>
        <w:rPr>
          <w:rFonts w:ascii="SimSun" w:hAnsi="SimSun"/>
          <w:b w:val="false"/>
          <w:i w:val="false"/>
          <w:color w:val="000000"/>
          <w:sz w:val="21"/>
        </w:rPr>
        <w:t xml:space="preserve">3.要求学生在本科学段达到相应的学术创新要求，包括参与完成1项大学生科创项目，或参与学业或技能竞赛，发表论文和申请专利等。详见《复旦大学口腔医学院本研融通项目本科阶段学术创新要求》。
      </w:t>
      </w:r>
    </w:p>
    <w:tbl>
      <w:tblPr>
        <w:tblW w:w="0" w:type="auto"/>
        <w:tblCellSpacing w:w="0" w:type="auto"/>
        <w:tblBorders>
          <w:top w:val="none"/>
          <w:left w:val="none"/>
          <w:bottom w:val="none"/>
          <w:right w:val="none"/>
          <w:insideH w:val="none"/>
          <w:insideV w:val="none"/>
        </w:tblBorders>
      </w:tblPr>
      <w:tblGrid>
        <w:gridCol w:w="2969"/>
        <w:gridCol w:w="742"/>
        <w:gridCol w:w="742"/>
        <w:gridCol w:w="1039"/>
        <w:gridCol w:w="1660"/>
        <w:gridCol w:w="742"/>
        <w:gridCol w:w="742"/>
        <w:gridCol w:w="742"/>
        <w:gridCol w:w="1731"/>
        <w:gridCol w:w="1039"/>
        <w:gridCol w:w="1486"/>
      </w:tblGrid>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早接触科研思维训练</w:t>
            </w:r>
            <w:r>
              <w:br/>
            </w:r>
            <w:r>
              <w:br/>
            </w:r>
            <w:r>
              <w:rPr>
                <w:rFonts w:ascii="SimSun" w:hAnsi="SimSun"/>
                <w:b w:val="false"/>
                <w:i w:val="false"/>
                <w:color w:val="000000"/>
                <w:sz w:val="21"/>
              </w:rPr>
              <w:t>Introduction to Craniofaciodental Research</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1,2,3,4,5,6,7,8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口腔人工智能设备学</w:t>
            </w:r>
            <w:r>
              <w:br/>
            </w:r>
            <w:r>
              <w:br/>
            </w:r>
            <w:r>
              <w:rPr>
                <w:rFonts w:ascii="SimSun" w:hAnsi="SimSun"/>
                <w:b w:val="false"/>
                <w:i w:val="false"/>
                <w:color w:val="000000"/>
                <w:sz w:val="21"/>
              </w:rPr>
              <w:t>Artificial Intelligence for Devices in Stomatology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内科学实习</w:t>
            </w:r>
            <w:r>
              <w:br/>
            </w:r>
            <w:r>
              <w:br/>
            </w:r>
            <w:r>
              <w:rPr>
                <w:rFonts w:ascii="SimSun" w:hAnsi="SimSun"/>
                <w:b w:val="false"/>
                <w:i w:val="false"/>
                <w:color w:val="000000"/>
                <w:sz w:val="21"/>
              </w:rPr>
              <w:t>Internship in Internal Medicine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外科学实习</w:t>
            </w:r>
            <w:r>
              <w:br/>
            </w:r>
            <w:r>
              <w:br/>
            </w:r>
            <w:r>
              <w:rPr>
                <w:rFonts w:ascii="SimSun" w:hAnsi="SimSun"/>
                <w:b w:val="false"/>
                <w:i w:val="false"/>
                <w:color w:val="000000"/>
                <w:sz w:val="21"/>
              </w:rPr>
              <w:t>Surgical Internship</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临床衔接课程</w:t>
            </w:r>
            <w:r>
              <w:br/>
            </w:r>
            <w:r>
              <w:br/>
            </w:r>
            <w:r>
              <w:rPr>
                <w:rFonts w:ascii="SimSun" w:hAnsi="SimSun"/>
                <w:b w:val="false"/>
                <w:i w:val="false"/>
                <w:color w:val="000000"/>
                <w:sz w:val="21"/>
              </w:rPr>
              <w:t>Clinical Bridging Course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儿童口腔科实习</w:t>
            </w:r>
            <w:r>
              <w:br/>
            </w:r>
            <w:r>
              <w:br/>
            </w:r>
            <w:r>
              <w:rPr>
                <w:rFonts w:ascii="SimSun" w:hAnsi="SimSun"/>
                <w:b w:val="false"/>
                <w:i w:val="false"/>
                <w:color w:val="000000"/>
                <w:sz w:val="21"/>
              </w:rPr>
              <w:t>Clinical Internship in Department of Pediatric Dentistry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STOM50006</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牙体牙髓病科实习</w:t>
            </w:r>
            <w:r>
              <w:br/>
            </w:r>
            <w:r>
              <w:br/>
            </w:r>
            <w:r>
              <w:rPr>
                <w:rFonts w:ascii="SimSun" w:hAnsi="SimSun"/>
                <w:b w:val="false"/>
                <w:i w:val="false"/>
                <w:color w:val="000000"/>
                <w:sz w:val="21"/>
              </w:rPr>
              <w:t>Practice in Operative Dentistry and Endodontics</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STOM50007</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口腔预防科实习</w:t>
            </w:r>
            <w:r>
              <w:br/>
            </w:r>
            <w:r>
              <w:br/>
            </w:r>
            <w:r>
              <w:rPr>
                <w:rFonts w:ascii="SimSun" w:hAnsi="SimSun"/>
                <w:b w:val="false"/>
                <w:i w:val="false"/>
                <w:color w:val="000000"/>
                <w:sz w:val="21"/>
              </w:rPr>
              <w:t>Preventive Dentistry Practise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STOM50001</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口腔黏膜病科实习</w:t>
            </w:r>
            <w:r>
              <w:br/>
            </w:r>
            <w:r>
              <w:br/>
            </w:r>
            <w:r>
              <w:rPr>
                <w:rFonts w:ascii="SimSun" w:hAnsi="SimSun"/>
                <w:b w:val="false"/>
                <w:i w:val="false"/>
                <w:color w:val="000000"/>
                <w:sz w:val="21"/>
              </w:rPr>
              <w:t>Practice in Oral mucosal diseases</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口腔放射科实习</w:t>
            </w:r>
            <w:r>
              <w:br/>
            </w:r>
            <w:r>
              <w:br/>
            </w:r>
            <w:r>
              <w:rPr>
                <w:rFonts w:ascii="SimSun" w:hAnsi="SimSun"/>
                <w:b w:val="false"/>
                <w:i w:val="false"/>
                <w:color w:val="000000"/>
                <w:sz w:val="21"/>
              </w:rPr>
              <w:t>Oral  and Maxillofacial medical  imaging practicum</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牙周科实习</w:t>
            </w:r>
            <w:r>
              <w:br/>
            </w:r>
            <w:r>
              <w:br/>
            </w:r>
            <w:r>
              <w:rPr>
                <w:rFonts w:ascii="SimSun" w:hAnsi="SimSun"/>
                <w:b w:val="false"/>
                <w:i w:val="false"/>
                <w:color w:val="000000"/>
                <w:sz w:val="21"/>
              </w:rPr>
              <w:t>Internship of Periodontology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口腔颌面外科实习</w:t>
            </w:r>
            <w:r>
              <w:br/>
            </w:r>
            <w:r>
              <w:br/>
            </w:r>
            <w:r>
              <w:rPr>
                <w:rFonts w:ascii="SimSun" w:hAnsi="SimSun"/>
                <w:b w:val="false"/>
                <w:i w:val="false"/>
                <w:color w:val="000000"/>
                <w:sz w:val="21"/>
              </w:rPr>
              <w:t>Internship of Oral and Maxillofacial Surgery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口腔修复科实习</w:t>
            </w:r>
            <w:r>
              <w:br/>
            </w:r>
            <w:r>
              <w:br/>
            </w:r>
            <w:r>
              <w:rPr>
                <w:rFonts w:ascii="SimSun" w:hAnsi="SimSun"/>
                <w:b w:val="false"/>
                <w:i w:val="false"/>
                <w:color w:val="000000"/>
                <w:sz w:val="21"/>
              </w:rPr>
              <w:t>Internship in Prosthodontics Department</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口腔正畸学实习</w:t>
            </w:r>
            <w:r>
              <w:br/>
            </w:r>
            <w:r>
              <w:br/>
            </w:r>
            <w:r>
              <w:rPr>
                <w:rFonts w:ascii="SimSun" w:hAnsi="SimSun"/>
                <w:b w:val="false"/>
                <w:i w:val="false"/>
                <w:color w:val="000000"/>
                <w:sz w:val="21"/>
              </w:rPr>
              <w:t>Orthodontic practice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本科学术创新训练，必修，本科学段须按《复旦大学口腔医学院本研融通项目本科阶段学术创新要求》完成课题研究等学术创新要求。本培养环节含复芏计划（FDUROP）等本科生学术研究资助计划。</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研究生临床实践</w:t>
            </w:r>
            <w:r>
              <w:br/>
            </w:r>
            <w:r>
              <w:br/>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一）临床能力训练以提高临床实践能力为主。硕士研究生应在上海市卫生计生委公布的住院医师规范化培训基地进行不少于33个月培训，必须严格按照《上海市住院医师规范化培训标准细则》和《复旦大学口腔医学硕士专业学位培养方案》的要求实施培养和考核。
（二）硕士研究生通过临床能力训练，掌握本专业及相关学科的基本诊断、治疗技术、本学科常见病、多发病的病因、发病机理、临床表现、诊断和鉴别诊断、处理方法等。学会门急诊处理、危重病人抢救、病历书写等临床知识和技能，培养严谨的科学作风和高尚的医德。
（三）临床能力考核。主要考核硕士研究生是否具有较强的临床分析、思维能力和实践操作能力。通过上海市住院医师规范化培训所规定的各科出科考核、年度考核和结业综合考核，取得《医师资格证书》和《上海市住院医师规范化培训合格证书》。硕士研究生必须按要求认真完成《上海市住院医师临床轮转登记手册》和《复旦大学临床医学硕士专业学位研究生培养手册》的有关记载，指导(带教)医师应定期审核签字，两本手册将作为年度考核的重要内容及参加结业综合考核的依据。</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硕士生在读期间需积极参加国际、国内相关学术活动，完成一定级别规定次数的学术活动。</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在临床轮转期间，各培训医院每月应安排不少于两个半天的集中学习，以讲座、教学研讨会、案例分析等方式，学习各相关学科的新进展、新知识。通过各科出科考核、年度考核等考核。</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在第12学期完成，详见《复旦大学专业学位研究生培养工作规定（试行）》</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在第14学期完成，详见《复旦大学专业学位研究生培养工作规定（试行）》</w:t>
            </w:r>
          </w:p>
        </w:tc>
      </w:tr>
      <w:tr>
        <w:trPr>
          <w:trHeight w:val="45" w:hRule="atLeast"/>
        </w:trPr>
        <w:tc>
          <w:tcPr>
            <w:tcW w:w="29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