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未来信息创新学院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2025电子信息科学与技术-电子科学与技术本硕融通培养方案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本专业源于1950年代物理系电子学实验室，试制出国内第一台电子模拟计算机，58年设无线电电子学专业，60年成立无线电电子学系，1993年调整为电子学与信息系统专业，1999年改为电子信息科学与技术专业，2012年改授工学学位。经过六十多年的发展，形成了具有良好数理基础、较强科研能力的电子信息领域人才培养平台，2019年被评为国家级一流本科专业建设点。</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培养具有“通识基础、专业素质、创新思维、实践能力、全球视野、社会责任”综合特质，成为引领未来的社会栋梁与专业精英。通过课堂讲授、学术讲座、科学研究、技术交流、工程实习与社会实践等多层次、多领域、多环节的教学活动，培养学生学会用科学的观点和方法分析问题，把学习知识、观察现象、工程实践与严谨思考紧密结合起来，养成科学思维、辩证思维、系统思维和创新思维。把政治认同、国家意识、道路自信、理论自信、制度自信、文化自信、人格养成等思想政治教育导向融入学业全程教育，加强其家国情怀、科学精神和道德意志品质的培养。具备电子信息科学与技术的基本理论和基本知识，受到严格的科学实验训练和初步的科学研究训练，能在电子信息科学与技术、计算机科学与技术及相关领域和行政部门，从事科学研究、教学、科技开发、产品设计、生产技术或管理工作的电子信息科学与技术高级专门人才。</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 xml:space="preserve"> </w:t>
      </w:r>
      <w:r>
        <w:drawing>
          <wp:inline distT="0" distB="0" distL="0" distR="0">
            <wp:extent cx="4250267" cy="18796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250267" cy="18796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6</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面试内容：荣誉课程学习情况、综合评价（竞赛、比赛、科研实践情况及物理志趣等内容）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电子信息科学与技术</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面试内容：荣誉课程学习情况、综合评价（竞赛、比赛、科研实践情况及物理志趣等内容）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电子信息科学与技术</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138</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42</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60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18</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荣誉项目</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任意选修</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融合创新能力实验模块</w:t>
            </w:r>
            <w:r>
              <w:rPr>
                <w:rFonts w:ascii="SimSun" w:hAnsi="SimSun"/>
                <w:b w:val="false"/>
                <w:i w:val="false"/>
                <w:color w:val="000000"/>
                <w:sz w:val="21"/>
              </w:rPr>
              <w:t xml:space="preserve"> </w:t>
            </w:r>
            <w:r>
              <w:rPr>
                <w:rFonts w:ascii="SimSun" w:hAnsi="SimSun"/>
                <w:b w:val="false"/>
                <w:i w:val="false"/>
                <w:color w:val="000000"/>
                <w:sz w:val="21"/>
              </w:rPr>
              <w:t>13</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5</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电子科学与技术</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bl>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val="false"/>
          <w:i w:val="false"/>
          <w:color w:val="000000"/>
          <w:sz w:val="21"/>
        </w:rPr>
        <w:t xml:space="preserve"> </w:t>
      </w:r>
      <w:r>
        <w:drawing>
          <wp:inline distT="0" distB="0" distL="0" distR="0">
            <wp:extent cx="4402667" cy="16425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402667" cy="1642533"/>
                    </a:xfrm>
                    <a:prstGeom prst="rect">
                      <a:avLst/>
                    </a:prstGeom>
                  </pic:spPr>
                </pic:pic>
              </a:graphicData>
            </a:graphic>
          </wp:inline>
        </w:drawing>
      </w:r>
    </w:p>
    <w:p>
      <w:pPr>
        <w:spacing w:after="0"/>
        <w:ind w:left="0"/>
        <w:jc w:val="left"/>
      </w:pPr>
      <w:r>
        <w:rPr>
          <w:rFonts w:ascii="SimSun" w:hAnsi="SimSun"/>
          <w:b w:val="false"/>
          <w:i w:val="false"/>
          <w:color w:val="000000"/>
          <w:sz w:val="21"/>
        </w:rPr>
        <w:t>1、专业进阶路径：161学分</w:t>
      </w:r>
    </w:p>
    <w:p>
      <w:pPr>
        <w:spacing w:after="0"/>
        <w:ind w:left="0"/>
        <w:jc w:val="left"/>
      </w:pPr>
      <w:r>
        <w:rPr>
          <w:rFonts w:ascii="SimSun" w:hAnsi="SimSun"/>
          <w:b w:val="false"/>
          <w:i w:val="false"/>
          <w:color w:val="000000"/>
          <w:sz w:val="21"/>
        </w:rPr>
        <w:t xml:space="preserve">  本路径学生本硕期间必须修满教学计划规定的161学分，包括通识教育课程45学分、专业培养课程66学分、专业进阶I修读13学分（研究生课程不少于6学分）、专业进阶II修读14学分（研究生课程不少于10学分）、融合创新能力培养模块23学分的修读。</w:t>
      </w:r>
    </w:p>
    <w:p>
      <w:pPr>
        <w:spacing w:after="0"/>
        <w:ind w:left="0"/>
        <w:jc w:val="left"/>
      </w:pPr>
      <w:r>
        <w:rPr>
          <w:rFonts w:ascii="SimSun" w:hAnsi="SimSun"/>
          <w:b w:val="false"/>
          <w:i w:val="false"/>
          <w:color w:val="000000"/>
          <w:sz w:val="21"/>
        </w:rPr>
        <w:t xml:space="preserve">  其中，本科学段需要完成1388学分（含实践学分不低于32学分；含美育学分不少于2学分，其中至少在“美学和艺术史论类”或“艺术鉴赏和评论类”课程中修读1学分，并至少参与一项艺术实践活动；劳动教育不少于32学时，并满足劳动周教育要求），包括通识教育课程42学分、专业培养课程60学分、专业进阶模块修读18学分、融合创新能力培养18学分。</w:t>
      </w:r>
    </w:p>
    <w:p>
      <w:pPr>
        <w:spacing w:after="0"/>
        <w:ind w:left="0"/>
        <w:jc w:val="left"/>
      </w:pPr>
      <w:r>
        <w:rPr>
          <w:rFonts w:ascii="SimSun" w:hAnsi="SimSun"/>
          <w:b w:val="false"/>
          <w:i w:val="false"/>
          <w:color w:val="000000"/>
          <w:sz w:val="21"/>
        </w:rPr>
        <w:t>2、荣誉项目：167学分</w:t>
      </w:r>
    </w:p>
    <w:p>
      <w:pPr>
        <w:spacing w:after="0"/>
        <w:ind w:left="0"/>
        <w:jc w:val="left"/>
      </w:pPr>
      <w:r>
        <w:rPr>
          <w:rFonts w:ascii="SimSun" w:hAnsi="SimSun"/>
          <w:b w:val="false"/>
          <w:i w:val="false"/>
          <w:color w:val="000000"/>
          <w:sz w:val="21"/>
        </w:rPr>
        <w:t xml:space="preserve">  在专业进阶路径基础上，修读荣誉课程不少于6门课。荣誉项目课程设置和修读要求请见信息学院“荣誉项目”实施方案。下载地址：https://jwc.fudan.edu.cn/（复旦大学教务处）专业培养-常用文档。</w:t>
      </w:r>
    </w:p>
    <w:p>
      <w:pPr>
        <w:spacing w:after="0"/>
        <w:ind w:left="0"/>
        <w:jc w:val="left"/>
      </w:pPr>
      <w:r>
        <w:rPr>
          <w:rFonts w:ascii="SimSun" w:hAnsi="SimSun"/>
          <w:b w:val="false"/>
          <w:i w:val="false"/>
          <w:color w:val="000000"/>
          <w:sz w:val="21"/>
        </w:rPr>
        <w:t>3、跨学科发展路径：176学分</w:t>
      </w:r>
    </w:p>
    <w:p>
      <w:pPr>
        <w:spacing w:after="0"/>
        <w:ind w:left="0"/>
        <w:jc w:val="left"/>
      </w:pPr>
      <w:r>
        <w:rPr>
          <w:rFonts w:ascii="SimSun" w:hAnsi="SimSun"/>
          <w:b w:val="false"/>
          <w:i w:val="false"/>
          <w:color w:val="000000"/>
          <w:sz w:val="21"/>
        </w:rPr>
        <w:t xml:space="preserve">  在专业进阶路径或荣誉项目基础上，修读1个非本专业独立开设的学程15学分，具体要求见教务处学程实施方案。</w:t>
      </w:r>
    </w:p>
    <w:p>
      <w:pPr>
        <w:spacing w:after="0"/>
        <w:ind w:left="0"/>
        <w:jc w:val="left"/>
      </w:pPr>
      <w:r>
        <w:rPr>
          <w:rFonts w:ascii="SimSun" w:hAnsi="SimSun"/>
          <w:b w:val="false"/>
          <w:i w:val="false"/>
          <w:color w:val="000000"/>
          <w:sz w:val="21"/>
        </w:rPr>
        <w:t>4、电子信息科学与技术+AI人工智能双学士学位项目：204学分</w:t>
      </w:r>
    </w:p>
    <w:p>
      <w:pPr>
        <w:spacing w:after="0"/>
        <w:ind w:left="0"/>
        <w:jc w:val="left"/>
      </w:pPr>
      <w:r>
        <w:rPr>
          <w:rFonts w:ascii="SimSun" w:hAnsi="SimSun"/>
          <w:b w:val="false"/>
          <w:i w:val="false"/>
          <w:color w:val="000000"/>
          <w:sz w:val="21"/>
        </w:rPr>
        <w:t xml:space="preserve">  在专业进阶路径或荣誉项目基础上，修读人工智能专业项目课程43学分。具体要求见信息学院-电子信息科学与技术-信息与计算科学（人工智能方向）双学士学位项目培养方案。</w:t>
      </w:r>
    </w:p>
    <w:p>
      <w:pPr>
        <w:spacing w:after="0"/>
        <w:ind w:left="0"/>
        <w:jc w:val="left"/>
      </w:pP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 xml:space="preserve">1. 4年级结束时，如达到学士学位要求者授予工学学士学位。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（3）在此基础上，达到信息学院“荣誉证书”获得条件的授予“荣誉证书”，具体要求请见信息学院“荣誉项目”实施方案。</w:t>
      </w:r>
    </w:p>
    <w:p>
      <w:pPr>
        <w:spacing w:after="0"/>
        <w:ind w:left="0"/>
        <w:jc w:val="left"/>
      </w:pPr>
      <w:r>
        <w:rPr>
          <w:rFonts w:ascii="SimSun" w:hAnsi="SimSun"/>
          <w:b w:val="false"/>
          <w:i w:val="false"/>
          <w:color w:val="000000"/>
          <w:sz w:val="21"/>
        </w:rPr>
        <w:t>2. 本科学段主动退出和转段考核不合格退出本研融通计划的学生，需按照电子信息科学与技术本科“2+X+Y”培养方案修读课程，如达到学士学位要求者授予工学学士学位。</w:t>
      </w:r>
    </w:p>
    <w:p>
      <w:pPr>
        <w:spacing w:after="0"/>
        <w:ind w:left="0"/>
        <w:jc w:val="left"/>
      </w:pPr>
    </w:p>
    <w:p>
      <w:pPr>
        <w:spacing w:after="0"/>
        <w:ind w:left="0"/>
        <w:jc w:val="left"/>
      </w:pPr>
      <w:r>
        <w:rPr>
          <w:rFonts w:ascii="SimSun" w:hAnsi="SimSun"/>
          <w:b w:val="false"/>
          <w:i w:val="false"/>
          <w:color w:val="000000"/>
          <w:sz w:val="21"/>
        </w:rPr>
        <w:t>（二）研究生学位</w:t>
      </w:r>
    </w:p>
    <w:p>
      <w:pPr>
        <w:spacing w:after="0"/>
        <w:ind w:left="0"/>
        <w:jc w:val="left"/>
      </w:pPr>
      <w:r>
        <w:rPr>
          <w:rFonts w:ascii="SimSun" w:hAnsi="SimSun"/>
          <w:b w:val="false"/>
          <w:i w:val="false"/>
          <w:color w:val="000000"/>
          <w:sz w:val="21"/>
        </w:rPr>
        <w:t>1. 达到电子科学与技术专业硕士学位要求者授予电子科学与技术工学硕士学位，具体要求：</w:t>
      </w:r>
    </w:p>
    <w:p>
      <w:pPr>
        <w:spacing w:after="0"/>
        <w:ind w:left="0"/>
        <w:jc w:val="left"/>
      </w:pPr>
      <w:r>
        <w:rPr>
          <w:rFonts w:ascii="SimSun" w:hAnsi="SimSun"/>
          <w:b w:val="false"/>
          <w:i w:val="false"/>
          <w:color w:val="000000"/>
          <w:sz w:val="21"/>
        </w:rPr>
        <w:t>（1）申请人提出学位论文答辩申请时，必须已修满学校规定的学分数；所有课程成绩合格，其中学位课程平均绩点原则上不低于2.5。</w:t>
      </w:r>
    </w:p>
    <w:p>
      <w:pPr>
        <w:spacing w:after="0"/>
        <w:ind w:left="0"/>
        <w:jc w:val="left"/>
      </w:pPr>
      <w:r>
        <w:rPr>
          <w:rFonts w:ascii="SimSun" w:hAnsi="SimSun"/>
          <w:b w:val="false"/>
          <w:i w:val="false"/>
          <w:color w:val="000000"/>
          <w:sz w:val="21"/>
        </w:rPr>
        <w:t>（2）按本培养方案必修环节设置栏目中的要求完成2个学分学术活动和2个学分的实践活动。</w:t>
      </w:r>
    </w:p>
    <w:p>
      <w:pPr>
        <w:spacing w:after="0"/>
        <w:ind w:left="0"/>
        <w:jc w:val="left"/>
      </w:pPr>
      <w:r>
        <w:rPr>
          <w:rFonts w:ascii="SimSun" w:hAnsi="SimSun"/>
          <w:b w:val="false"/>
          <w:i w:val="false"/>
          <w:color w:val="000000"/>
          <w:sz w:val="21"/>
        </w:rPr>
        <w:t>（3）完成硕士学位论文和取得经同行评议认可的创新性成果。本学科的硕士生必须通过科研和技术开发活动，对相对独立完成的课题或取得的阶段性成果进行总结，取得经同行评议认可的创新性研究成果，如在同行评议的较高质量学术期刊上公开发表学术论文、或其它形式的经过同行评议认可的较高质量学术成果，该成果是学位论文主要内容，且满足以下几种情况之一:</w:t>
      </w:r>
    </w:p>
    <w:p>
      <w:pPr>
        <w:spacing w:after="0"/>
        <w:ind w:left="0"/>
        <w:jc w:val="left"/>
      </w:pPr>
      <w:r>
        <w:rPr>
          <w:rFonts w:ascii="SimSun" w:hAnsi="SimSun"/>
          <w:b w:val="false"/>
          <w:i w:val="false"/>
          <w:color w:val="000000"/>
          <w:sz w:val="21"/>
        </w:rPr>
        <w:t xml:space="preserve">  A.硕士期间科研成果达到导师要求，且第一作者（或导师第一学生第二）第一单位发表或录用1篇A类或1-4区期刊论文。</w:t>
      </w:r>
    </w:p>
    <w:p>
      <w:pPr>
        <w:spacing w:after="0"/>
        <w:ind w:left="0"/>
        <w:jc w:val="left"/>
      </w:pPr>
      <w:r>
        <w:rPr>
          <w:rFonts w:ascii="SimSun" w:hAnsi="SimSun"/>
          <w:b w:val="false"/>
          <w:i w:val="false"/>
          <w:color w:val="000000"/>
          <w:sz w:val="21"/>
        </w:rPr>
        <w:t xml:space="preserve">  B.硕士期间作出其他重要学术成果或重大工程应用等特殊贡献，导师向学位分委员会提出申请，由学位分委员会进行认定。</w:t>
      </w:r>
    </w:p>
    <w:p>
      <w:pPr>
        <w:spacing w:after="0"/>
        <w:ind w:left="0"/>
        <w:jc w:val="left"/>
      </w:pPr>
      <w:r>
        <w:rPr>
          <w:rFonts w:ascii="SimSun" w:hAnsi="SimSun"/>
          <w:b w:val="false"/>
          <w:i w:val="false"/>
          <w:color w:val="000000"/>
          <w:sz w:val="21"/>
        </w:rPr>
        <w:t xml:space="preserve">  注：SCI分区、A类期刊分别依据投稿当年或发表当年的中科院SCI期刊分区表、复旦大学学位与研究生教育国内期刊指导目录。</w:t>
      </w:r>
    </w:p>
    <w:p>
      <w:pPr>
        <w:spacing w:after="0"/>
        <w:ind w:left="0"/>
        <w:jc w:val="left"/>
      </w:pPr>
      <w:r>
        <w:rPr>
          <w:rFonts w:ascii="SimSun" w:hAnsi="SimSun"/>
          <w:b w:val="false"/>
          <w:i w:val="false"/>
          <w:color w:val="000000"/>
          <w:sz w:val="21"/>
        </w:rPr>
        <w:t>（4）通过学位论文评阅和学位论文答辩。</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 xml:space="preserve">  以电子和通信核心课程为基础建立了本研融通的专业核心课程体系，以学科领域为横、课程内容梯度为纵建立了难度逐级提升的本研融通的专业进阶课程体系。为鼓励学生挑战自我，设立了7门荣誉课程可供修读，完成6门荣誉课程的基础上授予荣誉毕业证书。</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240"/>
        <w:gridCol w:w="1126"/>
        <w:gridCol w:w="1126"/>
        <w:gridCol w:w="1126"/>
        <w:gridCol w:w="1126"/>
        <w:gridCol w:w="1126"/>
        <w:gridCol w:w="1126"/>
        <w:gridCol w:w="1127"/>
        <w:gridCol w:w="1127"/>
        <w:gridCol w:w="1128"/>
        <w:gridCol w:w="1128"/>
        <w:gridCol w:w="1128"/>
      </w:tblGrid>
      <w:tr>
        <w:trPr>
          <w:trHeight w:val="45" w:hRule="atLeast"/>
        </w:trPr>
        <w:tc>
          <w:tcPr>
            <w:tcW w:w="124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备注</w:t>
            </w:r>
          </w:p>
        </w:tc>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课程代码数字部分的第一位代表了课程难度等级。</w:t>
            </w:r>
          </w:p>
        </w:tc>
      </w:tr>
      <w:tr>
        <w:trPr>
          <w:trHeight w:val="45" w:hRule="atLeast"/>
        </w:trPr>
        <w:tc>
          <w:tcPr>
            <w:tcW w:w="0" w:type="auto"/>
            <w:vMerge/>
            <w:tcBorders>
              <w:top w:val="nil"/>
              <w:bottom w:val="single" w:color="000000" w:sz="8"/>
              <w:right w:val="single" w:color="000000" w:sz="8"/>
            </w:tcBorders>
          </w:tcPr>
          <w:p/>
        </w:tc>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每学期选修学分不得超过32学分。</w:t>
            </w:r>
          </w:p>
        </w:tc>
      </w:tr>
    </w:tbl>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 xml:space="preserve">  本科阶段设立导论课程和无学分讨论班，引导学生早进课题组轮转，通过“复芏计划”激发创新志趣。研究生阶段强化科研训练，加强科学道德和学术规范教育，激励学生自主开展学术研究。多渠道支持学生参加国内国际高水平学术交流，鼓励学生参加国内外高水平创新竞赛，以赛促教、促学、促研。</w:t>
      </w:r>
    </w:p>
    <w:p>
      <w:pPr>
        <w:spacing w:after="0"/>
        <w:ind w:left="0"/>
        <w:jc w:val="left"/>
      </w:pPr>
      <w:r>
        <w:rPr>
          <w:rFonts w:ascii="SimSun" w:hAnsi="SimSun"/>
          <w:b w:val="false"/>
          <w:i w:val="false"/>
          <w:color w:val="000000"/>
          <w:sz w:val="21"/>
        </w:rPr>
        <w:t xml:space="preserve"> </w:t>
      </w:r>
      <w:r>
        <w:drawing>
          <wp:inline distT="0" distB="0" distL="0" distR="0">
            <wp:extent cx="4961467" cy="28278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961467" cy="2827867"/>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（一）通识教育课程（43学分）</w:t>
      </w:r>
    </w:p>
    <w:p>
      <w:pPr>
        <w:spacing w:after="0"/>
        <w:ind w:left="0"/>
        <w:jc w:val="left"/>
      </w:pPr>
      <w:r>
        <w:rPr>
          <w:rFonts w:ascii="SimSun" w:hAnsi="SimSun"/>
          <w:b w:val="false"/>
          <w:i w:val="false"/>
          <w:color w:val="000000"/>
          <w:sz w:val="21"/>
        </w:rPr>
        <w:t xml:space="preserve">  通识教育课程包括通识教育核心课程和专项教育课程。</w:t>
      </w:r>
    </w:p>
    <w:p>
      <w:pPr>
        <w:spacing w:after="0"/>
        <w:ind w:left="0"/>
        <w:jc w:val="left"/>
      </w:pPr>
      <w:r>
        <w:rPr>
          <w:rFonts w:ascii="SimSun" w:hAnsi="SimSun"/>
          <w:b w:val="false"/>
          <w:i w:val="false"/>
          <w:color w:val="000000"/>
          <w:sz w:val="21"/>
        </w:rPr>
        <w:t>1. 通识教育核心课程（29学分）</w:t>
      </w:r>
    </w:p>
    <w:p>
      <w:pPr>
        <w:spacing w:after="0"/>
        <w:ind w:left="0"/>
        <w:jc w:val="left"/>
      </w:pPr>
      <w:r>
        <w:rPr>
          <w:rFonts w:ascii="SimSun" w:hAnsi="SimSun"/>
          <w:b w:val="false"/>
          <w:i w:val="false"/>
          <w:color w:val="000000"/>
          <w:sz w:val="21"/>
        </w:rPr>
        <w:t xml:space="preserve">  要求修读29学分，含思想政治理论课22学分（其中研究生学位课3学分），七大模块课程6学分（美育学分不少于2学分），大学生国家安全教育1学分。</w:t>
      </w:r>
    </w:p>
    <w:p>
      <w:pPr>
        <w:spacing w:after="0"/>
        <w:ind w:left="0"/>
        <w:jc w:val="left"/>
      </w:pPr>
      <w:r>
        <w:rPr>
          <w:rFonts w:ascii="SimSun" w:hAnsi="SimSun"/>
          <w:b w:val="false"/>
          <w:i w:val="false"/>
          <w:color w:val="000000"/>
          <w:sz w:val="21"/>
        </w:rPr>
        <w:t xml:space="preserve">  本研融通课程在研究生课程类别一栏注明：学位课、选修课，该栏空白默认为本科生课程。</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3744"/>
        <w:gridCol w:w="1278"/>
        <w:gridCol w:w="1164"/>
        <w:gridCol w:w="1507"/>
        <w:gridCol w:w="2306"/>
        <w:gridCol w:w="1484"/>
        <w:gridCol w:w="1393"/>
        <w:gridCol w:w="1576"/>
        <w:gridCol w:w="1758"/>
        <w:gridCol w:w="1645"/>
        <w:gridCol w:w="1645"/>
      </w:tblGrid>
      <w:tr>
        <w:trPr>
          <w:trHeight w:val="45"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课程/模块名称</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学分</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周学时</w:t>
            </w:r>
          </w:p>
        </w:tc>
        <w:tc>
          <w:tcPr>
            <w:tcW w:w="150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修读要求</w:t>
            </w:r>
          </w:p>
        </w:tc>
        <w:tc>
          <w:tcPr>
            <w:tcW w:w="230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课程代码</w:t>
            </w: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含实践学分</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含美育学分</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含劳动教育总学时</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开课学期</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研究生课程类别</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备注</w:t>
            </w:r>
          </w:p>
        </w:tc>
      </w:tr>
      <w:tr>
        <w:trPr>
          <w:trHeight w:val="45"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习近平新时代中国特色社会主义思想概论</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50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30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GEIP30002</w:t>
            </w: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5"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思想道德与法治</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50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30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GEIP20007</w:t>
            </w: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5"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中国近现代史纲要</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50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30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GEIP20006</w:t>
            </w: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5"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马克思主义基本原理</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50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30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GEIP40012</w:t>
            </w: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5"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毛泽东思想和中国特色社会主义理论体系概论</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50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30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GEIP30001</w:t>
            </w: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5"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新时代中国特色社会主义理论与实践</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50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30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GEIP40013</w:t>
            </w: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学位课</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5"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自然辩证法</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50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30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GEIP40007</w:t>
            </w: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645"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学位课</w:t>
            </w:r>
            <w:r>
              <w:br/>
            </w:r>
            <w:r>
              <w:br/>
            </w:r>
            <w:r>
              <w:rPr>
                <w:rFonts w:ascii="SimSun" w:hAnsi="SimSun"/>
                <w:b w:val="false"/>
                <w:i w:val="false"/>
                <w:color w:val="000000"/>
                <w:sz w:val="21"/>
              </w:rPr>
              <w:t>（三选一）</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5"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自然辨证法概论</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50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30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GEIP40008</w:t>
            </w: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0" w:type="auto"/>
            <w:vMerge/>
            <w:tcBorders>
              <w:top w:val="nil"/>
              <w:bottom w:val="single" w:color="000000" w:sz="8"/>
              <w:right w:val="single" w:color="000000" w:sz="8"/>
            </w:tcBorders>
          </w:tcP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5"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马克思主义与社会科学方法论</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50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30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GEIP40009</w:t>
            </w: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0" w:type="auto"/>
            <w:vMerge/>
            <w:tcBorders>
              <w:top w:val="nil"/>
              <w:bottom w:val="single" w:color="000000" w:sz="8"/>
              <w:right w:val="single" w:color="000000" w:sz="8"/>
            </w:tcBorders>
          </w:tcP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5"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强国之路：形势、政策与使命</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50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306"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见思想政治理论课模块课程列表</w:t>
            </w: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1~4</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根据院系通知安排</w:t>
            </w:r>
          </w:p>
        </w:tc>
      </w:tr>
      <w:tr>
        <w:trPr>
          <w:trHeight w:val="45"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思想政治理论课模块B组课程</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50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必选</w:t>
            </w:r>
          </w:p>
        </w:tc>
        <w:tc>
          <w:tcPr>
            <w:tcW w:w="0" w:type="auto"/>
            <w:vMerge/>
            <w:tcBorders>
              <w:top w:val="nil"/>
              <w:bottom w:val="single" w:color="000000" w:sz="8"/>
              <w:right w:val="single" w:color="000000" w:sz="8"/>
            </w:tcBorders>
          </w:tcP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5"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1文史经典与文化传承模块课程</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507"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必选6学分(每模块≤1门)</w:t>
            </w:r>
          </w:p>
        </w:tc>
        <w:tc>
          <w:tcPr>
            <w:tcW w:w="2306"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见核心课程七大模块课程列表</w:t>
            </w: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5"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2哲学智慧与批判性思维模块课程</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5"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3文明对话与世界视野模块课程</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5"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4社会研究与当代中国模块课程</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5"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6生态环境与生命关怀模块课程</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5"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7艺术创作与审美体验模块课程</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5"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大学生国家安全教育</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50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30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GESS10001</w:t>
            </w: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bl>
    <w:p>
      <w:pPr>
        <w:spacing w:after="0"/>
        <w:ind w:left="0"/>
        <w:jc w:val="left"/>
      </w:pPr>
      <w:r>
        <w:rPr>
          <w:rFonts w:ascii="SimSun" w:hAnsi="SimSun"/>
          <w:b w:val="false"/>
          <w:i w:val="false"/>
          <w:color w:val="000000"/>
          <w:sz w:val="21"/>
        </w:rPr>
        <w:t>2. 专项教育课程（16学分）</w:t>
      </w:r>
    </w:p>
    <w:p>
      <w:pPr>
        <w:spacing w:after="0"/>
        <w:ind w:left="0"/>
        <w:jc w:val="left"/>
      </w:pPr>
      <w:r>
        <w:rPr>
          <w:rFonts w:ascii="SimSun" w:hAnsi="SimSun"/>
          <w:b w:val="false"/>
          <w:i w:val="false"/>
          <w:color w:val="000000"/>
          <w:sz w:val="21"/>
        </w:rPr>
        <w:t xml:space="preserve">  要求修读16学分。</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3552"/>
        <w:gridCol w:w="1384"/>
        <w:gridCol w:w="1176"/>
        <w:gridCol w:w="1661"/>
        <w:gridCol w:w="2283"/>
        <w:gridCol w:w="1384"/>
        <w:gridCol w:w="1615"/>
        <w:gridCol w:w="1430"/>
        <w:gridCol w:w="1776"/>
        <w:gridCol w:w="1731"/>
        <w:gridCol w:w="1408"/>
      </w:tblGrid>
      <w:tr>
        <w:trPr>
          <w:trHeight w:val="48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复旦大学英语水平测试</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必考</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24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大学英语基础课程</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1176"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166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2283"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见大学外语课程列表</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24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大学英语进阶课程</w:t>
            </w:r>
          </w:p>
        </w:tc>
        <w:tc>
          <w:tcPr>
            <w:tcW w:w="1384"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8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大学英语高阶课程</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96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第二外语课程</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96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人工智能AI-B（B0类课程）</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见人工智能课程列表</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建议无编程基础者必修</w:t>
            </w:r>
          </w:p>
        </w:tc>
      </w:tr>
      <w:tr>
        <w:trPr>
          <w:trHeight w:val="48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人工智能AI-B（B1类课程）</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8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体育课程</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见体育课程列表</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1~4</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24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军事理论</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见军事理论</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24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军事技能</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见军事技能</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72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心理健康教育</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必选</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见专项教育课程心理健康教育部分</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总学时不少于32学时</w:t>
            </w:r>
          </w:p>
        </w:tc>
      </w:tr>
      <w:tr>
        <w:trPr>
          <w:trHeight w:val="528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实验室安全教育</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见专项教育课程实验室安全教育部分</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累计不少于16学时</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（45学分,本科要求42学分）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（66学分,本科要求60学分）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工学基础课程</w:t>
      </w:r>
      <w:r>
        <w:rPr>
          <w:rFonts w:ascii="SimSun" w:hAnsi="SimSun"/>
          <w:b/>
          <w:i w:val="false"/>
          <w:color w:val="000000"/>
          <w:sz w:val="21"/>
        </w:rPr>
        <w:t>（30学分,本科要求30学分）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电子系统导论</w:t>
            </w:r>
            <w:r>
              <w:br/>
            </w:r>
            <w:r>
              <w:br/>
            </w:r>
            <w:r>
              <w:rPr>
                <w:rFonts w:ascii="SimSun" w:hAnsi="SimSun"/>
                <w:b w:val="false"/>
                <w:i w:val="false"/>
                <w:color w:val="000000"/>
                <w:sz w:val="21"/>
              </w:rPr>
              <w:t>Introduction to Electronic Systems</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EST10003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（36学分,本科要求30学分）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要求修读36学分（选修荣誉课程学分数每门加1分），其中研究生基础课6学分。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数字逻辑基础</w:t>
            </w:r>
            <w:r>
              <w:br/>
            </w:r>
            <w:r>
              <w:br/>
            </w:r>
            <w:r>
              <w:rPr>
                <w:rFonts w:ascii="SimSun" w:hAnsi="SimSun"/>
                <w:b w:val="false"/>
                <w:i w:val="false"/>
                <w:color w:val="000000"/>
                <w:sz w:val="21"/>
              </w:rPr>
              <w:t>Fundamentals of Digital Logic</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模拟电子学基础</w:t>
            </w:r>
            <w:r>
              <w:br/>
            </w:r>
            <w:r>
              <w:br/>
            </w:r>
            <w:r>
              <w:rPr>
                <w:rFonts w:ascii="SimSun" w:hAnsi="SimSun"/>
                <w:b w:val="false"/>
                <w:i w:val="false"/>
                <w:color w:val="000000"/>
                <w:sz w:val="21"/>
              </w:rPr>
              <w:t>Analog Electronics Foundation Course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概率、数理统计与随机过程</w:t>
            </w:r>
            <w:r>
              <w:br/>
            </w:r>
            <w:r>
              <w:br/>
            </w:r>
            <w:r>
              <w:rPr>
                <w:rFonts w:ascii="SimSun" w:hAnsi="SimSun"/>
                <w:b w:val="false"/>
                <w:i w:val="false"/>
                <w:color w:val="000000"/>
                <w:sz w:val="21"/>
              </w:rPr>
              <w:t>Probability, Mathematical Statistics and Stochastic Process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工程数学</w:t>
            </w:r>
            <w:r>
              <w:br/>
            </w:r>
            <w:r>
              <w:br/>
            </w:r>
            <w:r>
              <w:rPr>
                <w:rFonts w:ascii="SimSun" w:hAnsi="SimSun"/>
                <w:b w:val="false"/>
                <w:i w:val="false"/>
                <w:color w:val="000000"/>
                <w:sz w:val="21"/>
              </w:rPr>
              <w:t>Engineering Mathematics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高频电子线路B</w:t>
            </w:r>
            <w:r>
              <w:br/>
            </w:r>
            <w:r>
              <w:br/>
            </w:r>
            <w:r>
              <w:rPr>
                <w:rFonts w:ascii="SimSun" w:hAnsi="SimSun"/>
                <w:b w:val="false"/>
                <w:i w:val="false"/>
                <w:color w:val="000000"/>
                <w:sz w:val="21"/>
              </w:rPr>
              <w:t>High Frequency Circuits B</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信号与通信系统</w:t>
            </w:r>
            <w:r>
              <w:br/>
            </w:r>
            <w:r>
              <w:br/>
            </w:r>
            <w:r>
              <w:rPr>
                <w:rFonts w:ascii="SimSun" w:hAnsi="SimSun"/>
                <w:b w:val="false"/>
                <w:i w:val="false"/>
                <w:color w:val="000000"/>
                <w:sz w:val="21"/>
              </w:rPr>
              <w:t>Signal and Communication System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可选荣誉课程《信号与通信系统（H）》</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信息论基础</w:t>
            </w:r>
            <w:r>
              <w:br/>
            </w:r>
            <w:r>
              <w:br/>
            </w:r>
            <w:r>
              <w:rPr>
                <w:rFonts w:ascii="SimSun" w:hAnsi="SimSun"/>
                <w:b w:val="false"/>
                <w:i w:val="false"/>
                <w:color w:val="000000"/>
                <w:sz w:val="21"/>
              </w:rPr>
              <w:t>Elements of Information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可选荣誉课程《信息论（H）》</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数字信号处理A</w:t>
            </w:r>
            <w:r>
              <w:br/>
            </w:r>
            <w:r>
              <w:br/>
            </w:r>
            <w:r>
              <w:rPr>
                <w:rFonts w:ascii="SimSun" w:hAnsi="SimSun"/>
                <w:b w:val="false"/>
                <w:i w:val="false"/>
                <w:color w:val="000000"/>
                <w:sz w:val="21"/>
              </w:rPr>
              <w:t>Introduction to Digital Signal Processing 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可选荣誉课程《数字信号处理（H）》</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计算机体系结构</w:t>
            </w:r>
            <w:r>
              <w:br/>
            </w:r>
            <w:r>
              <w:br/>
            </w:r>
            <w:r>
              <w:rPr>
                <w:rFonts w:ascii="SimSun" w:hAnsi="SimSun"/>
                <w:b w:val="false"/>
                <w:i w:val="false"/>
                <w:color w:val="000000"/>
                <w:sz w:val="21"/>
              </w:rPr>
              <w:t>Computer Architecture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可选荣誉课程《数字信号处理（H）》</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自动控制原理</w:t>
            </w:r>
            <w:r>
              <w:br/>
            </w:r>
            <w:r>
              <w:br/>
            </w:r>
            <w:r>
              <w:rPr>
                <w:rFonts w:ascii="SimSun" w:hAnsi="SimSun"/>
                <w:b w:val="false"/>
                <w:i w:val="false"/>
                <w:color w:val="000000"/>
                <w:sz w:val="21"/>
              </w:rPr>
              <w:t>Automatic Control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可选荣誉课程《自动控制原理（H）》</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统计信号处理</w:t>
            </w:r>
            <w:r>
              <w:br/>
            </w:r>
            <w:r>
              <w:br/>
            </w:r>
            <w:r>
              <w:rPr>
                <w:rFonts w:ascii="SimSun" w:hAnsi="SimSun"/>
                <w:b w:val="false"/>
                <w:i w:val="false"/>
                <w:color w:val="000000"/>
                <w:sz w:val="21"/>
              </w:rPr>
              <w:t>Statistical Signal Processing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EST40023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学位基础课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最优化理论与方法</w:t>
            </w:r>
            <w:r>
              <w:br/>
            </w:r>
            <w:r>
              <w:br/>
            </w:r>
            <w:r>
              <w:rPr>
                <w:rFonts w:ascii="SimSun" w:hAnsi="SimSun"/>
                <w:b w:val="false"/>
                <w:i w:val="false"/>
                <w:color w:val="000000"/>
                <w:sz w:val="21"/>
              </w:rPr>
              <w:t>Optimization Theory and Methods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本研学位基础课（三选一）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矩阵分析</w:t>
            </w:r>
            <w:r>
              <w:br/>
            </w:r>
            <w:r>
              <w:br/>
            </w:r>
            <w:r>
              <w:rPr>
                <w:rFonts w:ascii="SimSun" w:hAnsi="SimSun"/>
                <w:b w:val="false"/>
                <w:i w:val="false"/>
                <w:color w:val="000000"/>
                <w:sz w:val="21"/>
              </w:rPr>
              <w:t>Matrix Analysis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本研学位基础课（三选一） </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应用随机过程</w:t>
            </w:r>
            <w:r>
              <w:br/>
            </w:r>
            <w:r>
              <w:br/>
            </w:r>
            <w:r>
              <w:rPr>
                <w:rFonts w:ascii="SimSun" w:hAnsi="SimSun"/>
                <w:b w:val="false"/>
                <w:i w:val="false"/>
                <w:color w:val="000000"/>
                <w:sz w:val="21"/>
              </w:rPr>
              <w:t>Applied Stochastic Processes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本研学位基础课（三选一）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包括专业进阶路径、荣誉项目、跨学科发展路径、博硕双学位项目，要求在院系专业导师指导下选择1条发展路径，按路径要求修读课程。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修满27学分。要求在本专业专业进阶模块I修读13学分（研究生课程不少于6学分）、专业进阶模块II修读14学分（研究生课程不少于10学分）。专业进阶模块I若有多修读学分，其可替代专业进阶模块II学分。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w:t>
      </w:r>
      <w:r>
        <w:rPr>
          <w:rFonts w:ascii="SimSun" w:hAnsi="SimSun"/>
          <w:b/>
          <w:i w:val="false"/>
          <w:color w:val="000000"/>
          <w:sz w:val="21"/>
        </w:rPr>
        <w:t>（27学分,本科要求18学分）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专业进阶模块I</w:t>
      </w:r>
      <w:r>
        <w:rPr>
          <w:rFonts w:ascii="SimSun" w:hAnsi="SimSun"/>
          <w:b/>
          <w:i w:val="false"/>
          <w:color w:val="000000"/>
          <w:sz w:val="21"/>
        </w:rPr>
        <w:t>（13学分,本科要求7学分）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研究生课程修读不少于6学分。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可编程器件与硬件描述语言</w:t>
            </w:r>
            <w:r>
              <w:br/>
            </w:r>
            <w:r>
              <w:br/>
            </w:r>
            <w:r>
              <w:rPr>
                <w:rFonts w:ascii="SimSun" w:hAnsi="SimSun"/>
                <w:b w:val="false"/>
                <w:i w:val="false"/>
                <w:color w:val="000000"/>
                <w:sz w:val="21"/>
              </w:rPr>
              <w:t>Programmable Logic Device and Hardware Description Language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信号检测与估计基础</w:t>
            </w:r>
            <w:r>
              <w:br/>
            </w:r>
            <w:r>
              <w:br/>
            </w:r>
            <w:r>
              <w:rPr>
                <w:rFonts w:ascii="SimSun" w:hAnsi="SimSun"/>
                <w:b w:val="false"/>
                <w:i w:val="false"/>
                <w:color w:val="000000"/>
                <w:sz w:val="21"/>
              </w:rPr>
              <w:t>Signal Detection and Estimation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电磁场与电磁波</w:t>
            </w:r>
            <w:r>
              <w:br/>
            </w:r>
            <w:r>
              <w:br/>
            </w:r>
            <w:r>
              <w:rPr>
                <w:rFonts w:ascii="SimSun" w:hAnsi="SimSun"/>
                <w:b w:val="false"/>
                <w:i w:val="false"/>
                <w:color w:val="000000"/>
                <w:sz w:val="21"/>
              </w:rPr>
              <w:t xml:space="preserve">Electromagnetic Field and Wave </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现代智能控制理论</w:t>
            </w:r>
            <w:r>
              <w:br/>
            </w:r>
            <w:r>
              <w:br/>
            </w:r>
            <w:r>
              <w:rPr>
                <w:rFonts w:ascii="SimSun" w:hAnsi="SimSun"/>
                <w:b w:val="false"/>
                <w:i w:val="false"/>
                <w:color w:val="000000"/>
                <w:sz w:val="21"/>
              </w:rPr>
              <w:t>Modern Intelligent Control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研究生学位专业课（修读不少于6学分）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数字通信基础</w:t>
            </w:r>
            <w:r>
              <w:br/>
            </w:r>
            <w:r>
              <w:br/>
            </w:r>
            <w:r>
              <w:rPr>
                <w:rFonts w:ascii="SimSun" w:hAnsi="SimSun"/>
                <w:b w:val="false"/>
                <w:i w:val="false"/>
                <w:color w:val="000000"/>
                <w:sz w:val="21"/>
              </w:rPr>
              <w:t>Fundanmentals of Digital Communications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研究生学位专业课（修读不少于6学分）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网络动力学</w:t>
            </w:r>
            <w:r>
              <w:br/>
            </w:r>
            <w:r>
              <w:br/>
            </w:r>
            <w:r>
              <w:rPr>
                <w:rFonts w:ascii="SimSun" w:hAnsi="SimSun"/>
                <w:b w:val="false"/>
                <w:i w:val="false"/>
                <w:color w:val="000000"/>
                <w:sz w:val="21"/>
              </w:rPr>
              <w:t>Network Dynamics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研究生学位专业课（修读不少于6学分）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w:t>
            </w:r>
            <w:r>
              <w:br/>
            </w:r>
            <w:r>
              <w:br/>
            </w:r>
            <w:r>
              <w:rPr>
                <w:rFonts w:ascii="SimSun" w:hAnsi="SimSun"/>
                <w:b w:val="false"/>
                <w:i w:val="false"/>
                <w:color w:val="000000"/>
                <w:sz w:val="21"/>
              </w:rPr>
              <w:t>Machine Learning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研究生学位专业课（修读不少于6学分）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数据融合的理论及方法</w:t>
            </w:r>
            <w:r>
              <w:br/>
            </w:r>
            <w:r>
              <w:br/>
            </w:r>
            <w:r>
              <w:rPr>
                <w:rFonts w:ascii="SimSun" w:hAnsi="SimSun"/>
                <w:b w:val="false"/>
                <w:i w:val="false"/>
                <w:color w:val="000000"/>
                <w:sz w:val="21"/>
              </w:rPr>
              <w:t>Theory and Methods of Data Fusion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EST70040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研究生学位专业课（修读不少于6学分）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图像处理与机器视觉</w:t>
            </w:r>
            <w:r>
              <w:br/>
            </w:r>
            <w:r>
              <w:br/>
            </w:r>
            <w:r>
              <w:rPr>
                <w:rFonts w:ascii="SimSun" w:hAnsi="SimSun"/>
                <w:b w:val="false"/>
                <w:i w:val="false"/>
                <w:color w:val="000000"/>
                <w:sz w:val="21"/>
              </w:rPr>
              <w:t>Image Processing and Machine Vision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研究生学位专业课（修读不少于6学分） </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神经网络及应用</w:t>
            </w:r>
            <w:r>
              <w:br/>
            </w:r>
            <w:r>
              <w:br/>
            </w:r>
            <w:r>
              <w:rPr>
                <w:rFonts w:ascii="SimSun" w:hAnsi="SimSun"/>
                <w:b w:val="false"/>
                <w:i w:val="false"/>
                <w:color w:val="000000"/>
                <w:sz w:val="21"/>
              </w:rPr>
              <w:t>Theory and Application of Neural Networks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EST60021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研究生学位专业课（修读不少于6学分）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专业进阶模块II</w:t>
      </w:r>
      <w:r>
        <w:rPr>
          <w:rFonts w:ascii="SimSun" w:hAnsi="SimSun"/>
          <w:b/>
          <w:i w:val="false"/>
          <w:color w:val="000000"/>
          <w:sz w:val="21"/>
        </w:rPr>
        <w:t>（14学分）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研究生专业选修课修读不少于10学分(可用最低学分要求外的学位基础课和专业课替代）。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电工实验</w:t>
            </w:r>
            <w:r>
              <w:br/>
            </w:r>
            <w:r>
              <w:br/>
            </w:r>
            <w:r>
              <w:rPr>
                <w:rFonts w:ascii="SimSun" w:hAnsi="SimSun"/>
                <w:b w:val="false"/>
                <w:i w:val="false"/>
                <w:color w:val="000000"/>
                <w:sz w:val="21"/>
              </w:rPr>
              <w:t>Electronic Experiments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电子系统设计</w:t>
            </w:r>
            <w:r>
              <w:br/>
            </w:r>
            <w:r>
              <w:br/>
            </w:r>
            <w:r>
              <w:rPr>
                <w:rFonts w:ascii="SimSun" w:hAnsi="SimSun"/>
                <w:b w:val="false"/>
                <w:i w:val="false"/>
                <w:color w:val="000000"/>
                <w:sz w:val="21"/>
              </w:rPr>
              <w:t>Electronic System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数字图像处理B</w:t>
            </w:r>
            <w:r>
              <w:br/>
            </w:r>
            <w:r>
              <w:br/>
            </w:r>
            <w:r>
              <w:rPr>
                <w:rFonts w:ascii="SimSun" w:hAnsi="SimSun"/>
                <w:b w:val="false"/>
                <w:i w:val="false"/>
                <w:color w:val="000000"/>
                <w:sz w:val="21"/>
              </w:rPr>
              <w:t>Digital Image Processing B</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多媒体技术</w:t>
            </w:r>
            <w:r>
              <w:br/>
            </w:r>
            <w:r>
              <w:br/>
            </w:r>
            <w:r>
              <w:rPr>
                <w:rFonts w:ascii="SimSun" w:hAnsi="SimSun"/>
                <w:b w:val="false"/>
                <w:i w:val="false"/>
                <w:color w:val="000000"/>
                <w:sz w:val="21"/>
              </w:rPr>
              <w:t>Multimedia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通信编码原理与技术</w:t>
            </w:r>
            <w:r>
              <w:br/>
            </w:r>
            <w:r>
              <w:br/>
            </w:r>
            <w:r>
              <w:rPr>
                <w:rFonts w:ascii="SimSun" w:hAnsi="SimSun"/>
                <w:b w:val="false"/>
                <w:i w:val="false"/>
                <w:color w:val="000000"/>
                <w:sz w:val="21"/>
              </w:rPr>
              <w:t>Communication Code: Principle and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卫星与移动通信B</w:t>
            </w:r>
            <w:r>
              <w:br/>
            </w:r>
            <w:r>
              <w:br/>
            </w:r>
            <w:r>
              <w:rPr>
                <w:rFonts w:ascii="SimSun" w:hAnsi="SimSun"/>
                <w:b w:val="false"/>
                <w:i w:val="false"/>
                <w:color w:val="000000"/>
                <w:sz w:val="21"/>
              </w:rPr>
              <w:t>Satellite and Mobile Communication B</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智联网络系统</w:t>
            </w:r>
            <w:r>
              <w:br/>
            </w:r>
            <w:r>
              <w:br/>
            </w:r>
            <w:r>
              <w:rPr>
                <w:rFonts w:ascii="SimSun" w:hAnsi="SimSun"/>
                <w:b w:val="false"/>
                <w:i w:val="false"/>
                <w:color w:val="000000"/>
                <w:sz w:val="21"/>
              </w:rPr>
              <w:t>Networking Systems of AI</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智能系统设计</w:t>
            </w:r>
            <w:r>
              <w:br/>
            </w:r>
            <w:r>
              <w:br/>
            </w:r>
            <w:r>
              <w:rPr>
                <w:rFonts w:ascii="SimSun" w:hAnsi="SimSun"/>
                <w:b w:val="false"/>
                <w:i w:val="false"/>
                <w:color w:val="000000"/>
                <w:sz w:val="21"/>
              </w:rPr>
              <w:t>Intelligent System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群体智能</w:t>
            </w:r>
            <w:r>
              <w:br/>
            </w:r>
            <w:r>
              <w:br/>
            </w:r>
            <w:r>
              <w:rPr>
                <w:rFonts w:ascii="SimSun" w:hAnsi="SimSun"/>
                <w:b w:val="false"/>
                <w:i w:val="false"/>
                <w:color w:val="000000"/>
                <w:sz w:val="21"/>
              </w:rPr>
              <w:t>Swarm Intelligence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统计学习</w:t>
            </w:r>
            <w:r>
              <w:br/>
            </w:r>
            <w:r>
              <w:br/>
            </w:r>
            <w:r>
              <w:rPr>
                <w:rFonts w:ascii="SimSun" w:hAnsi="SimSun"/>
                <w:b w:val="false"/>
                <w:i w:val="false"/>
                <w:color w:val="000000"/>
                <w:sz w:val="21"/>
              </w:rPr>
              <w:t>Statistical Learning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研究生选修课（修读不少于10学分）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计算机工程</w:t>
            </w:r>
            <w:r>
              <w:br/>
            </w:r>
            <w:r>
              <w:br/>
            </w:r>
            <w:r>
              <w:rPr>
                <w:rFonts w:ascii="SimSun" w:hAnsi="SimSun"/>
                <w:b w:val="false"/>
                <w:i w:val="false"/>
                <w:color w:val="000000"/>
                <w:sz w:val="21"/>
              </w:rPr>
              <w:t>Computer Engineering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研究生选修课（修读不少于10学分）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遥感数字影像分析与解译</w:t>
            </w:r>
            <w:r>
              <w:br/>
            </w:r>
            <w:r>
              <w:br/>
            </w:r>
            <w:r>
              <w:rPr>
                <w:rFonts w:ascii="SimSun" w:hAnsi="SimSun"/>
                <w:b w:val="false"/>
                <w:i w:val="false"/>
                <w:color w:val="000000"/>
                <w:sz w:val="21"/>
              </w:rPr>
              <w:t>Remote Sensing Digital Image Analysis and Interpretation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EST70023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研究生选修课（修读不少于10学分）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现代电子测量技术</w:t>
            </w:r>
            <w:r>
              <w:br/>
            </w:r>
            <w:r>
              <w:br/>
            </w:r>
            <w:r>
              <w:rPr>
                <w:rFonts w:ascii="SimSun" w:hAnsi="SimSun"/>
                <w:b w:val="false"/>
                <w:i w:val="false"/>
                <w:color w:val="000000"/>
                <w:sz w:val="21"/>
              </w:rPr>
              <w:t>Advanced Measurement Techniques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研究生选修课（修读不少于10学分）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线性自适应系统理论与控制</w:t>
            </w:r>
            <w:r>
              <w:br/>
            </w:r>
            <w:r>
              <w:br/>
            </w:r>
            <w:r>
              <w:rPr>
                <w:rFonts w:ascii="SimSun" w:hAnsi="SimSun"/>
                <w:b w:val="false"/>
                <w:i w:val="false"/>
                <w:color w:val="000000"/>
                <w:sz w:val="21"/>
              </w:rPr>
              <w:t>Theory and Control for Linear Adaptive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研究生选修课（修读不少于10学分）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先进工业过程控制讨论班</w:t>
            </w:r>
            <w:r>
              <w:br/>
            </w:r>
            <w:r>
              <w:br/>
            </w:r>
            <w:r>
              <w:rPr>
                <w:rFonts w:ascii="SimSun" w:hAnsi="SimSun"/>
                <w:b w:val="false"/>
                <w:i w:val="false"/>
                <w:color w:val="000000"/>
                <w:sz w:val="21"/>
              </w:rPr>
              <w:t>Advanced Industry Process Control</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EST70027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研究生选修课（修读不少于10学分） </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数字信息处理与传输（讨论班）</w:t>
            </w:r>
            <w:r>
              <w:br/>
            </w:r>
            <w:r>
              <w:br/>
            </w:r>
            <w:r>
              <w:rPr>
                <w:rFonts w:ascii="SimSun" w:hAnsi="SimSun"/>
                <w:b w:val="false"/>
                <w:i w:val="false"/>
                <w:color w:val="000000"/>
                <w:sz w:val="21"/>
              </w:rPr>
              <w:t>Processing and Transmission of Digital Information (Seminars)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EST70015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研究生选修课（修读不少于10学分）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（33学分）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33学分。要求修读荣誉课程不低于24学分（不少于6门课），且满足专业进阶模块I修读13学分（研究生课程不少于6学分）、专业进阶模块II修读14学分（研究生课程不少于10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（42学分）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42学分。要求在本专业进阶模块I修读13学分（研究生课程不少于6学分）、专业进阶模块II修读14学分（研究生课程不少于10学分）、1个非本专业独立开设的学程15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（42学分）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42学分。要求在本专业进阶模块I修读13学分（研究生课程不少于6学分）、专业进阶模块II修读14学分（研究生课程不少于10学分）、1个创新创业学程15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（23学分）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 全周期的科研训练体系，在1、2年级设立电子信息领域前沿导论课和无学分讨论班，引导学生早进课题组轮转，培育兴趣。2、3年级通过2学期的科研实践训练，完成1项复芏计划（FDUROP）项目（䇹政、望道、登辉和曦源），激发创新志趣。
       </w:t>
      </w:r>
      <w:r>
        <w:br/>
      </w:r>
      <w:r>
        <w:rPr>
          <w:rFonts w:ascii="SimSun" w:hAnsi="SimSun"/>
          <w:b w:val="false"/>
          <w:i w:val="false"/>
          <w:color w:val="000000"/>
          <w:sz w:val="21"/>
        </w:rPr>
        <w:t xml:space="preserve">
       </w:t>
      </w:r>
      <w:r>
        <w:br/>
      </w:r>
      <w:r>
        <w:rPr>
          <w:rFonts w:ascii="SimSun" w:hAnsi="SimSun"/>
          <w:b w:val="false"/>
          <w:i w:val="false"/>
          <w:color w:val="000000"/>
          <w:sz w:val="21"/>
        </w:rPr>
        <w:t xml:space="preserve">2. 多渠道支持学生参加国内国际高水平学术交流，鼓励学生参加国内国际高水平创新竞赛（全国大学生数模竞赛、全国大学生电子设计竞赛等、中国国际大学生创新大赛、“挑战杯”全国大学生课外学术科技作品竞赛、中国大学生工程实践与创新能力大赛、全国大学生光电设计竞赛等）。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模拟与数字电路实验</w:t>
            </w:r>
            <w:r>
              <w:br/>
            </w:r>
            <w:r>
              <w:br/>
            </w:r>
            <w:r>
              <w:rPr>
                <w:rFonts w:ascii="SimSun" w:hAnsi="SimSun"/>
                <w:b w:val="false"/>
                <w:i w:val="false"/>
                <w:color w:val="000000"/>
                <w:sz w:val="21"/>
              </w:rPr>
              <w:t>Analog and Digital Circuit Experiments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信号与系统实验</w:t>
            </w:r>
            <w:r>
              <w:br/>
            </w:r>
            <w:r>
              <w:br/>
            </w:r>
            <w:r>
              <w:rPr>
                <w:rFonts w:ascii="SimSun" w:hAnsi="SimSun"/>
                <w:b w:val="false"/>
                <w:i w:val="false"/>
                <w:color w:val="000000"/>
                <w:sz w:val="21"/>
              </w:rPr>
              <w:t>Experiments in Signals and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微机原理与接口实验</w:t>
            </w:r>
            <w:r>
              <w:br/>
            </w:r>
            <w:r>
              <w:br/>
            </w:r>
            <w:r>
              <w:rPr>
                <w:rFonts w:ascii="SimSun" w:hAnsi="SimSun"/>
                <w:b w:val="false"/>
                <w:i w:val="false"/>
                <w:color w:val="000000"/>
                <w:sz w:val="21"/>
              </w:rPr>
              <w:t>MicroComputer Architecture and Interfacing Experiments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高频电路实验</w:t>
            </w:r>
            <w:r>
              <w:br/>
            </w:r>
            <w:r>
              <w:br/>
            </w:r>
            <w:r>
              <w:rPr>
                <w:rFonts w:ascii="SimSun" w:hAnsi="SimSun"/>
                <w:b w:val="false"/>
                <w:i w:val="false"/>
                <w:color w:val="000000"/>
                <w:sz w:val="21"/>
              </w:rPr>
              <w:t>High Frequency Circuit Experiment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电子系统综合实验</w:t>
            </w:r>
            <w:r>
              <w:br/>
            </w:r>
            <w:r>
              <w:br/>
            </w:r>
            <w:r>
              <w:rPr>
                <w:rFonts w:ascii="SimSun" w:hAnsi="SimSun"/>
                <w:b w:val="false"/>
                <w:i w:val="false"/>
                <w:color w:val="000000"/>
                <w:sz w:val="21"/>
              </w:rPr>
              <w:t>Comprehensive Experiment of Electronic System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前沿讲座I</w:t>
            </w:r>
            <w:r>
              <w:br/>
            </w:r>
            <w:r>
              <w:br/>
            </w:r>
            <w:r>
              <w:rPr>
                <w:rFonts w:ascii="SimSun" w:hAnsi="SimSun"/>
                <w:b w:val="false"/>
                <w:i w:val="false"/>
                <w:color w:val="000000"/>
                <w:sz w:val="21"/>
              </w:rPr>
              <w:t>Frontiers in Information Science I</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EST50045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前沿讲座Ⅱ</w:t>
            </w:r>
            <w:r>
              <w:br/>
            </w:r>
            <w:r>
              <w:br/>
            </w:r>
            <w:r>
              <w:rPr>
                <w:rFonts w:ascii="SimSun" w:hAnsi="SimSun"/>
                <w:b w:val="false"/>
                <w:i w:val="false"/>
                <w:color w:val="000000"/>
                <w:sz w:val="21"/>
              </w:rPr>
              <w:t>Frontiers in Information ScienceⅡ</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EST50046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r>
              <w:br/>
            </w:r>
            <w:r>
              <w:br/>
            </w:r>
            <w:r>
              <w:rPr>
                <w:rFonts w:ascii="SimSun" w:hAnsi="SimSun"/>
                <w:b w:val="false"/>
                <w:i w:val="false"/>
                <w:color w:val="000000"/>
                <w:sz w:val="21"/>
              </w:rPr>
              <w:t>Academic English</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硕士专业英语</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第3、4学期，需在各个研究方向的无学分讨论班轮转，学期结束需获得相应方向讨论班老师签字确认。</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第5、6学期，需要承担1项复芏计划，详见复旦大学本科生学术研究资助计划管理办法。</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科研实践I</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需承担1项复芏计划</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科研实践II</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需承担1项复芏计划</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 研究生学段必选一个学期的前沿讲座课程（至少2学分）(在“智能无人系统前沿技术”（EIE70008），“卫星遥感进展”（EIE50004），“空间通信进展”（ICE50020），“新一代移动通信技术”（ICE70004）中任选一门)，期末时由课程负责老师对学生进行考核，并给出成绩。成绩为D-以上为通过。</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1.研究生学段必须完成1个学期全岗的本科生课程助教工作，指导老师评价为合格方为通过。</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硕士学位论文开题</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在第10学期完成，详见未来信息创新学院论文开题实施细则</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硕士论文中期考核</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在第11学期完成，见信息学院中期考核实施细则</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硕士学位论文预审</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硕士学位论文预审由院系组织，具体参照《复旦大学博士、硕士学位论文预审办法》及院系相关文件规定执行。</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