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2025临床医学（五年制）专业（儿科卓越班）本科培养方案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b w:val="false"/>
          <w:i w:val="false"/>
          <w:color w:val="000000"/>
          <w:sz w:val="21"/>
        </w:rPr>
        <w:t>临床医学专业创办历史悠久，设立于上海医学院建校初，九十多年来培养了一大批中国医疗卫生事业的骨干，为保障人民的健康做出了巨大贡献。临床医学专业致力于培养具有科学基础宽厚，专业技能扎实，创新能力强，发展潜力大，有较强临床诊断和处理病例的能力；掌握对群体的健康和疾病起重要作用的各种因素的知识，具有良好的沟通技巧和信息管理能力；掌握现代医学科学研究的基本方法，具有一定从事科研和教学能力的高层次医学人才。</w:t>
      </w:r>
    </w:p>
    <w:p>
      <w:pPr>
        <w:spacing w:after="0"/>
        <w:ind w:left="0"/>
        <w:jc w:val="left"/>
      </w:pPr>
      <w:r>
        <w:rPr>
          <w:rFonts w:ascii="SimSun" w:hAnsi="SimSun"/>
          <w:b/>
          <w:i w:val="false"/>
          <w:color w:val="000000"/>
          <w:sz w:val="24"/>
        </w:rPr>
        <w:t xml:space="preserve">
       二.    培养目标
      </w:t>
      </w:r>
    </w:p>
    <w:p>
      <w:pPr>
        <w:spacing w:after="0"/>
        <w:ind w:left="0"/>
        <w:jc w:val="left"/>
      </w:pPr>
      <w:r>
        <w:rPr>
          <w:b w:val="false"/>
          <w:i w:val="false"/>
          <w:color w:val="000000"/>
          <w:sz w:val="21"/>
        </w:rPr>
        <w:t>以培养德智体美劳全面发展，具有扎实的理论基础、熟练的专业技能、掌握现代医学科学理论和技术、能从事临床实际工作的卓越医学人才为主要目标，旨在培养一批兼具临床、科研和预防能力的复合型人才，成为未来临床医学专业的中坚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311"/>
        <w:gridCol w:w="1031"/>
        <w:gridCol w:w="1889"/>
        <w:gridCol w:w="1889"/>
        <w:gridCol w:w="1891"/>
        <w:gridCol w:w="1631"/>
        <w:gridCol w:w="1171"/>
        <w:gridCol w:w="1016"/>
        <w:gridCol w:w="1016"/>
        <w:gridCol w:w="1017"/>
        <w:gridCol w:w="1018"/>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1.修业年限：5年（类型：√本科、□本硕、□本博）</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33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331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w:t>
            </w:r>
          </w:p>
        </w:tc>
        <w:tc>
          <w:tcPr>
            <w:tcW w:w="18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6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临床医学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238</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7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专业培养课程111学分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融合创新能力模块48学分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422400"/>
                    </a:xfrm>
                    <a:prstGeom prst="rect">
                      <a:avLst/>
                    </a:prstGeom>
                  </pic:spPr>
                </pic:pic>
              </a:graphicData>
            </a:graphic>
          </wp:inline>
        </w:drawing>
      </w:r>
    </w:p>
    <w:p>
      <w:pPr>
        <w:spacing w:after="0"/>
        <w:ind w:left="0"/>
        <w:jc w:val="left"/>
      </w:pPr>
      <w:r>
        <w:rPr>
          <w:b w:val="false"/>
          <w:i w:val="false"/>
          <w:color w:val="000000"/>
          <w:sz w:val="21"/>
        </w:rPr>
        <w:t>1、专业进阶路径：238学分</w:t>
      </w:r>
      <w:r>
        <w:br/>
      </w:r>
      <w:r>
        <w:br/>
      </w:r>
      <w:r>
        <w:rPr>
          <w:b w:val="false"/>
          <w:i w:val="false"/>
          <w:color w:val="000000"/>
          <w:sz w:val="21"/>
        </w:rPr>
        <w:t xml:space="preserve">     本路径学生须满足通识教育课程（含通识教育核心课程和专项教育课程）44学分、专业培养课程111学分、专业进阶模块35学分、融合创新模块48学分，总学分不低于238学分（含实践学分不低于61学分、含美育学分不少于2学分，其中至少在“美学和艺术史论类”或“艺术鉴赏和评论类”课程中修读1学分，并至少参与一项艺术实践活动、劳动教育不少于32学时，并满足劳动周教育要求），达到学位要求者授予医学学士学位。</w:t>
      </w:r>
      <w:r>
        <w:br/>
      </w:r>
      <w:r>
        <w:br/>
      </w:r>
      <w:r>
        <w:rPr>
          <w:b w:val="false"/>
          <w:i w:val="false"/>
          <w:color w:val="000000"/>
          <w:sz w:val="21"/>
        </w:rPr>
        <w:t xml:space="preserve">     留学生和港澳台侨学生的通识教育课程修读要求，以及留学生的水平测试要求，参见相应修读说明。 </w:t>
      </w:r>
      <w:r>
        <w:br/>
      </w:r>
      <w:r>
        <w:br/>
      </w:r>
      <w:r>
        <w:rPr>
          <w:b w:val="false"/>
          <w:i w:val="false"/>
          <w:color w:val="000000"/>
          <w:sz w:val="21"/>
        </w:rPr>
        <w:t>2、跨学科学发展路径：238学分</w:t>
      </w:r>
      <w:r>
        <w:br/>
      </w:r>
      <w:r>
        <w:br/>
      </w:r>
      <w:r>
        <w:rPr>
          <w:b w:val="false"/>
          <w:i w:val="false"/>
          <w:color w:val="000000"/>
          <w:sz w:val="21"/>
        </w:rPr>
        <w:t xml:space="preserve">     本路径学生需要完成238学分，包括通识教育课程44学分、专业培养课程111学分、融合创新能力模块48学分、修读2个非本专业独立开设的学程（微专业）35学分。</w:t>
      </w:r>
      <w:r>
        <w:br/>
      </w:r>
      <w:r>
        <w:br/>
      </w:r>
      <w:r>
        <w:rPr>
          <w:b w:val="false"/>
          <w:i w:val="false"/>
          <w:color w:val="000000"/>
          <w:sz w:val="21"/>
        </w:rPr>
        <w:t>3、辅修学士学位路径：261.5学分</w:t>
      </w:r>
      <w:r>
        <w:br/>
      </w:r>
      <w:r>
        <w:br/>
      </w:r>
      <w:r>
        <w:rPr>
          <w:b w:val="false"/>
          <w:i w:val="false"/>
          <w:color w:val="000000"/>
          <w:sz w:val="21"/>
        </w:rPr>
        <w:t xml:space="preserve">      本路径学生需要完成261.5学分，包括通识教育课程44学分、专业培养课程111学分、融合创新能力模块48学分，以及共58.5学分的本专业的专业进阶课程模块I（需修读18.5学分）和1个辅修学士学位项目。</w:t>
      </w:r>
      <w:r>
        <w:br/>
      </w:r>
      <w:r>
        <w:br/>
      </w:r>
      <w:r>
        <w:rPr>
          <w:b w:val="false"/>
          <w:i w:val="false"/>
          <w:color w:val="000000"/>
          <w:sz w:val="21"/>
        </w:rPr>
        <w:t>4、创新创业路径：238学分</w:t>
      </w:r>
      <w:r>
        <w:br/>
      </w:r>
      <w:r>
        <w:br/>
      </w:r>
      <w:r>
        <w:rPr>
          <w:b w:val="false"/>
          <w:i w:val="false"/>
          <w:color w:val="000000"/>
          <w:sz w:val="21"/>
        </w:rPr>
        <w:t xml:space="preserve">     本路径学生需要完成238学分，包括通识教育课程44学分、专业培养课程111学分、融合创新能力模块48学分，以及共35学分的1个创新创业学院开设的创新创业学程（微专业）和1个非本专业独立开设的学程（微专业）。</w:t>
      </w:r>
    </w:p>
    <w:p>
      <w:pPr>
        <w:spacing w:after="0"/>
        <w:ind w:left="0"/>
        <w:jc w:val="left"/>
      </w:pPr>
      <w:r>
        <w:rPr>
          <w:rFonts w:ascii="SimSun" w:hAnsi="SimSun"/>
          <w:b/>
          <w:i w:val="false"/>
          <w:color w:val="000000"/>
          <w:sz w:val="24"/>
        </w:rPr>
        <w:t xml:space="preserve">
       六.    学位要求
      </w:t>
      </w:r>
    </w:p>
    <w:p>
      <w:pPr>
        <w:spacing w:after="0"/>
        <w:ind w:left="0"/>
        <w:jc w:val="left"/>
      </w:pPr>
      <w:r>
        <w:rPr>
          <w:b w:val="false"/>
          <w:i w:val="false"/>
          <w:color w:val="000000"/>
          <w:sz w:val="21"/>
        </w:rPr>
        <w:t>五年级结束时，如达到学士学位要求者授予医学学学士学位。</w:t>
      </w:r>
      <w:r>
        <w:br/>
      </w:r>
      <w:r>
        <w:br/>
      </w:r>
      <w:r>
        <w:rPr>
          <w:b w:val="false"/>
          <w:i w:val="false"/>
          <w:color w:val="000000"/>
          <w:sz w:val="21"/>
        </w:rPr>
        <w:t>（1）修满规定的学分，达到本科教学培养方案规定的各项要求。</w:t>
      </w:r>
      <w:r>
        <w:br/>
      </w:r>
      <w:r>
        <w:br/>
      </w:r>
      <w:r>
        <w:rPr>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2675467" cy="1896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75467" cy="1896533"/>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建立螺旋递进的全周期科研训练体系，鼓励师生共创，通过复芏计划等项目引导学生在“做中学、学中悟、悟中创”。</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Biochemistry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病理解剖学B</w:t>
            </w:r>
            <w:r>
              <w:br/>
            </w:r>
            <w:r>
              <w:br/>
            </w:r>
            <w:r>
              <w:rPr>
                <w:rFonts w:ascii="SimSun" w:hAnsi="SimSun"/>
                <w:b w:val="false"/>
                <w:i w:val="false"/>
                <w:color w:val="000000"/>
                <w:sz w:val="21"/>
              </w:rPr>
              <w:t>Pathological Anatomy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医学伦理与法规</w:t>
            </w:r>
            <w:r>
              <w:br/>
            </w:r>
            <w:r>
              <w:br/>
            </w:r>
            <w:r>
              <w:rPr>
                <w:rFonts w:ascii="SimSun" w:hAnsi="SimSun"/>
                <w:b w:val="false"/>
                <w:i w:val="false"/>
                <w:color w:val="000000"/>
                <w:sz w:val="21"/>
              </w:rPr>
              <w:t>Medical Ethics and 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中医学概论</w:t>
            </w:r>
            <w:r>
              <w:br/>
            </w:r>
            <w:r>
              <w:br/>
            </w:r>
            <w:r>
              <w:rPr>
                <w:rFonts w:ascii="SimSun" w:hAnsi="SimSun"/>
                <w:b w:val="false"/>
                <w:i w:val="false"/>
                <w:color w:val="000000"/>
                <w:sz w:val="21"/>
              </w:rPr>
              <w:t>The Introduction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r>
              <w:rPr>
                <w:rFonts w:ascii="SimSun" w:hAnsi="SimSun"/>
                <w:b w:val="false"/>
                <w:i w:val="false"/>
                <w:color w:val="000000"/>
                <w:sz w:val="21"/>
              </w:rPr>
              <w:t>Diagnostics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w:t>
            </w:r>
            <w:r>
              <w:br/>
            </w:r>
            <w:r>
              <w:br/>
            </w:r>
            <w:r>
              <w:rPr>
                <w:rFonts w:ascii="SimSun" w:hAnsi="SimSun"/>
                <w:b w:val="false"/>
                <w:i w:val="false"/>
                <w:color w:val="000000"/>
                <w:sz w:val="21"/>
              </w:rPr>
              <w:t>Medical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内科学B（上）</w:t>
            </w:r>
            <w:r>
              <w:br/>
            </w:r>
            <w:r>
              <w:br/>
            </w:r>
            <w:r>
              <w:rPr>
                <w:rFonts w:ascii="SimSun" w:hAnsi="SimSun"/>
                <w:b w:val="false"/>
                <w:i w:val="false"/>
                <w:color w:val="000000"/>
                <w:sz w:val="21"/>
              </w:rPr>
              <w:t>Internal Medicine B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外科学B(上)</w:t>
            </w:r>
            <w:r>
              <w:br/>
            </w:r>
            <w:r>
              <w:br/>
            </w:r>
            <w:r>
              <w:rPr>
                <w:rFonts w:ascii="SimSun" w:hAnsi="SimSun"/>
                <w:b w:val="false"/>
                <w:i w:val="false"/>
                <w:color w:val="000000"/>
                <w:sz w:val="21"/>
              </w:rPr>
              <w:t>Surgery B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r>
              <w:rPr>
                <w:rFonts w:ascii="SimSun" w:hAnsi="SimSun"/>
                <w:b w:val="false"/>
                <w:i w:val="false"/>
                <w:color w:val="000000"/>
                <w:sz w:val="21"/>
              </w:rPr>
              <w:t>Ophthalmology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r>
              <w:rPr>
                <w:rFonts w:ascii="SimSun" w:hAnsi="SimSun"/>
                <w:b w:val="false"/>
                <w:i w:val="false"/>
                <w:color w:val="000000"/>
                <w:sz w:val="21"/>
              </w:rPr>
              <w:t>Otorhinolaryngology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(Level 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内科学B（下）</w:t>
            </w:r>
            <w:r>
              <w:br/>
            </w:r>
            <w:r>
              <w:br/>
            </w:r>
            <w:r>
              <w:rPr>
                <w:rFonts w:ascii="SimSun" w:hAnsi="SimSun"/>
                <w:b w:val="false"/>
                <w:i w:val="false"/>
                <w:color w:val="000000"/>
                <w:sz w:val="21"/>
              </w:rPr>
              <w:t>Internal Medicine B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外科学B（下）</w:t>
            </w:r>
            <w:r>
              <w:br/>
            </w:r>
            <w:r>
              <w:br/>
            </w:r>
            <w:r>
              <w:rPr>
                <w:rFonts w:ascii="SimSun" w:hAnsi="SimSun"/>
                <w:b w:val="false"/>
                <w:i w:val="false"/>
                <w:color w:val="000000"/>
                <w:sz w:val="21"/>
              </w:rPr>
              <w:t>Surgery B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妇产科学B</w:t>
            </w:r>
            <w:r>
              <w:br/>
            </w:r>
            <w:r>
              <w:br/>
            </w:r>
            <w:r>
              <w:rPr>
                <w:rFonts w:ascii="SimSun" w:hAnsi="SimSun"/>
                <w:b w:val="false"/>
                <w:i w:val="false"/>
                <w:color w:val="000000"/>
                <w:sz w:val="21"/>
              </w:rPr>
              <w:t>Obstetrics and Gynecology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儿科学B</w:t>
            </w:r>
            <w:r>
              <w:br/>
            </w:r>
            <w:r>
              <w:br/>
            </w:r>
            <w:r>
              <w:rPr>
                <w:rFonts w:ascii="SimSun" w:hAnsi="SimSun"/>
                <w:b w:val="false"/>
                <w:i w:val="false"/>
                <w:color w:val="000000"/>
                <w:sz w:val="21"/>
              </w:rPr>
              <w:t>Pediatrics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新生儿学</w:t>
            </w:r>
            <w:r>
              <w:br/>
            </w:r>
            <w:r>
              <w:br/>
            </w:r>
            <w:r>
              <w:rPr>
                <w:rFonts w:ascii="SimSun" w:hAnsi="SimSun"/>
                <w:b w:val="false"/>
                <w:i w:val="false"/>
                <w:color w:val="000000"/>
                <w:sz w:val="21"/>
              </w:rPr>
              <w:t>Neonatology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小儿外科学</w:t>
            </w:r>
            <w:r>
              <w:br/>
            </w:r>
            <w:r>
              <w:br/>
            </w:r>
            <w:r>
              <w:rPr>
                <w:rFonts w:ascii="SimSun" w:hAnsi="SimSun"/>
                <w:b w:val="false"/>
                <w:i w:val="false"/>
                <w:color w:val="000000"/>
                <w:sz w:val="21"/>
              </w:rPr>
              <w:t>Pediatric Surgery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r>
              <w:rPr>
                <w:rFonts w:ascii="SimSun" w:hAnsi="SimSun"/>
                <w:b w:val="false"/>
                <w:i w:val="false"/>
                <w:color w:val="000000"/>
                <w:sz w:val="21"/>
              </w:rPr>
              <w:t>Neurology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r>
              <w:rPr>
                <w:rFonts w:ascii="SimSun" w:hAnsi="SimSun"/>
                <w:b w:val="false"/>
                <w:i w:val="false"/>
                <w:color w:val="000000"/>
                <w:sz w:val="21"/>
              </w:rPr>
              <w:t>Evidence-based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w:t>
            </w:r>
            <w:r>
              <w:br/>
            </w:r>
            <w:r>
              <w:br/>
            </w:r>
            <w:r>
              <w:rPr>
                <w:rFonts w:ascii="SimSun" w:hAnsi="SimSun"/>
                <w:b w:val="false"/>
                <w:i w:val="false"/>
                <w:color w:val="000000"/>
                <w:sz w:val="21"/>
              </w:rPr>
              <w:t>Introduction to General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儿童保健与发育行为儿科学</w:t>
            </w:r>
            <w:r>
              <w:br/>
            </w:r>
            <w:r>
              <w:br/>
            </w:r>
            <w:r>
              <w:rPr>
                <w:rFonts w:ascii="SimSun" w:hAnsi="SimSun"/>
                <w:b w:val="false"/>
                <w:i w:val="false"/>
                <w:color w:val="000000"/>
                <w:sz w:val="21"/>
              </w:rPr>
              <w:t>Child Health Care and Developmental Behavioral Pediatrics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儿童传染与感染疾病</w:t>
            </w:r>
            <w:r>
              <w:br/>
            </w:r>
            <w:r>
              <w:br/>
            </w:r>
            <w:r>
              <w:rPr>
                <w:rFonts w:ascii="SimSun" w:hAnsi="SimSun"/>
                <w:b w:val="false"/>
                <w:i w:val="false"/>
                <w:color w:val="000000"/>
                <w:sz w:val="21"/>
              </w:rPr>
              <w:t>Pediatric Infectious Disease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在本专业专业进阶模块分别修读18.5学分的专业进阶模块I和15学分的专业进阶模块II，剩余1.5学分可在全校所有本科生课程中任意选修。专业进阶模块II若有多修读学分，可替代任意选修。完成专业进阶路径修读要求的学生，可以向临床医学院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（18.5学分）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医学信息检索</w:t>
            </w:r>
            <w:r>
              <w:br/>
            </w:r>
            <w:r>
              <w:br/>
            </w:r>
            <w:r>
              <w:rPr>
                <w:rFonts w:ascii="SimSun" w:hAnsi="SimSun"/>
                <w:b w:val="false"/>
                <w:i w:val="false"/>
                <w:color w:val="000000"/>
                <w:sz w:val="21"/>
              </w:rPr>
              <w:t>Medical Information Retrieval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高级医学微生物学</w:t>
            </w:r>
            <w:r>
              <w:br/>
            </w:r>
            <w:r>
              <w:br/>
            </w:r>
            <w:r>
              <w:rPr>
                <w:rFonts w:ascii="SimSun" w:hAnsi="SimSun"/>
                <w:b w:val="false"/>
                <w:i w:val="false"/>
                <w:color w:val="000000"/>
                <w:sz w:val="21"/>
              </w:rPr>
              <w:t>Advanced Medical 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基于疾病的多学科教学I</w:t>
            </w:r>
            <w:r>
              <w:br/>
            </w:r>
            <w:r>
              <w:br/>
            </w:r>
            <w:r>
              <w:rPr>
                <w:rFonts w:ascii="SimSun" w:hAnsi="SimSun"/>
                <w:b w:val="false"/>
                <w:i w:val="false"/>
                <w:color w:val="000000"/>
                <w:sz w:val="21"/>
              </w:rPr>
              <w:t>Case-Based Multi-Disciplinary Learning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走近临床Ⅰ</w:t>
            </w:r>
            <w:r>
              <w:br/>
            </w:r>
            <w:r>
              <w:br/>
            </w:r>
            <w:r>
              <w:rPr>
                <w:rFonts w:ascii="SimSun" w:hAnsi="SimSun"/>
                <w:b w:val="false"/>
                <w:i w:val="false"/>
                <w:color w:val="000000"/>
                <w:sz w:val="21"/>
              </w:rPr>
              <w:t>Approaching Clinic 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课程分两阶段，依次在第3、4学期授课，第4学期选课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家庭、社区与人群健康</w:t>
            </w:r>
            <w:r>
              <w:br/>
            </w:r>
            <w:r>
              <w:br/>
            </w:r>
            <w:r>
              <w:rPr>
                <w:rFonts w:ascii="SimSun" w:hAnsi="SimSun"/>
                <w:b w:val="false"/>
                <w:i w:val="false"/>
                <w:color w:val="000000"/>
                <w:sz w:val="21"/>
              </w:rPr>
              <w:t>Family, Community and Population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走进临床—从医之道</w:t>
            </w:r>
            <w:r>
              <w:br/>
            </w:r>
            <w:r>
              <w:br/>
            </w:r>
            <w:r>
              <w:rPr>
                <w:rFonts w:ascii="SimSun" w:hAnsi="SimSun"/>
                <w:b w:val="false"/>
                <w:i w:val="false"/>
                <w:color w:val="000000"/>
                <w:sz w:val="21"/>
              </w:rPr>
              <w:t>Doctoring-Clinical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课程分两阶段，依次在第4、7学期授课，第7学期选课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肿瘤学概论B</w:t>
            </w:r>
            <w:r>
              <w:br/>
            </w:r>
            <w:r>
              <w:br/>
            </w:r>
            <w:r>
              <w:rPr>
                <w:rFonts w:ascii="SimSun" w:hAnsi="SimSun"/>
                <w:b w:val="false"/>
                <w:i w:val="false"/>
                <w:color w:val="000000"/>
                <w:sz w:val="21"/>
              </w:rPr>
              <w:t>Basics of Clinical Oncology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皮肤病学B</w:t>
            </w:r>
            <w:r>
              <w:br/>
            </w:r>
            <w:r>
              <w:br/>
            </w:r>
            <w:r>
              <w:rPr>
                <w:rFonts w:ascii="SimSun" w:hAnsi="SimSun"/>
                <w:b w:val="false"/>
                <w:i w:val="false"/>
                <w:color w:val="000000"/>
                <w:sz w:val="21"/>
              </w:rPr>
              <w:t>Dermatology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临床诊断基本技术操作</w:t>
            </w:r>
            <w:r>
              <w:br/>
            </w:r>
            <w:r>
              <w:br/>
            </w:r>
            <w:r>
              <w:rPr>
                <w:rFonts w:ascii="SimSun" w:hAnsi="SimSun"/>
                <w:b w:val="false"/>
                <w:i w:val="false"/>
                <w:color w:val="000000"/>
                <w:sz w:val="21"/>
              </w:rPr>
              <w:t>Basic Techniques of Clinical Diagnosis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专业选修（部分）</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本模块课程需修读不少于7学分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代谢分子医学与疾病</w:t>
            </w:r>
            <w:r>
              <w:br/>
            </w:r>
            <w:r>
              <w:br/>
            </w:r>
            <w:r>
              <w:rPr>
                <w:rFonts w:ascii="SimSun" w:hAnsi="SimSun"/>
                <w:b w:val="false"/>
                <w:i w:val="false"/>
                <w:color w:val="000000"/>
                <w:sz w:val="21"/>
              </w:rPr>
              <w:t>Metabolic molecular medicine and disease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安宁关怀</w:t>
            </w:r>
            <w:r>
              <w:br/>
            </w:r>
            <w:r>
              <w:br/>
            </w:r>
            <w:r>
              <w:rPr>
                <w:rFonts w:ascii="SimSun" w:hAnsi="SimSun"/>
                <w:b w:val="false"/>
                <w:i w:val="false"/>
                <w:color w:val="000000"/>
                <w:sz w:val="21"/>
              </w:rPr>
              <w:t>End of Life Care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重症医学</w:t>
            </w:r>
            <w:r>
              <w:br/>
            </w:r>
            <w:r>
              <w:br/>
            </w:r>
            <w:r>
              <w:rPr>
                <w:rFonts w:ascii="SimSun" w:hAnsi="SimSun"/>
                <w:b w:val="false"/>
                <w:i w:val="false"/>
                <w:color w:val="000000"/>
                <w:sz w:val="21"/>
              </w:rPr>
              <w:t>Critical Care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老年医学临床实践</w:t>
            </w:r>
            <w:r>
              <w:br/>
            </w:r>
            <w:r>
              <w:br/>
            </w:r>
            <w:r>
              <w:rPr>
                <w:rFonts w:ascii="SimSun" w:hAnsi="SimSun"/>
                <w:b w:val="false"/>
                <w:i w:val="false"/>
                <w:color w:val="000000"/>
                <w:sz w:val="21"/>
              </w:rPr>
              <w:t>Clinical Practice of Geriatric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临床思维建立与提高</w:t>
            </w:r>
            <w:r>
              <w:br/>
            </w:r>
            <w:r>
              <w:br/>
            </w:r>
            <w:r>
              <w:rPr>
                <w:rFonts w:ascii="SimSun" w:hAnsi="SimSun"/>
                <w:b w:val="false"/>
                <w:i w:val="false"/>
                <w:color w:val="000000"/>
                <w:sz w:val="21"/>
              </w:rPr>
              <w:t>The establishmnet and improvement of clinical thinking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康复医学导论</w:t>
            </w:r>
            <w:r>
              <w:br/>
            </w:r>
            <w:r>
              <w:br/>
            </w:r>
            <w:r>
              <w:rPr>
                <w:rFonts w:ascii="SimSun" w:hAnsi="SimSun"/>
                <w:b w:val="false"/>
                <w:i w:val="false"/>
                <w:color w:val="000000"/>
                <w:sz w:val="21"/>
              </w:rPr>
              <w:t>The introduction of rehabilitation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生殖医学概论</w:t>
            </w:r>
            <w:r>
              <w:br/>
            </w:r>
            <w:r>
              <w:br/>
            </w:r>
            <w:r>
              <w:rPr>
                <w:rFonts w:ascii="SimSun" w:hAnsi="SimSun"/>
                <w:b w:val="false"/>
                <w:i w:val="false"/>
                <w:color w:val="000000"/>
                <w:sz w:val="21"/>
              </w:rPr>
              <w:t>Introduction to reproductive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眼视光学</w:t>
            </w:r>
            <w:r>
              <w:br/>
            </w:r>
            <w:r>
              <w:br/>
            </w:r>
            <w:r>
              <w:rPr>
                <w:rFonts w:ascii="SimSun" w:hAnsi="SimSun"/>
                <w:b w:val="false"/>
                <w:i w:val="false"/>
                <w:color w:val="000000"/>
                <w:sz w:val="21"/>
              </w:rPr>
              <w:t>Optometry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走进儿科--儿科科研初体验</w:t>
            </w:r>
            <w:r>
              <w:br/>
            </w:r>
            <w:r>
              <w:br/>
            </w:r>
            <w:r>
              <w:rPr>
                <w:rFonts w:ascii="SimSun" w:hAnsi="SimSun"/>
                <w:b w:val="false"/>
                <w:i w:val="false"/>
                <w:color w:val="000000"/>
                <w:sz w:val="21"/>
              </w:rPr>
              <w:t>Entering Pediatrics ——The Initial Experience of Pediatric Research</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出生缺陷</w:t>
            </w:r>
            <w:r>
              <w:br/>
            </w:r>
            <w:r>
              <w:br/>
            </w:r>
            <w:r>
              <w:rPr>
                <w:rFonts w:ascii="SimSun" w:hAnsi="SimSun"/>
                <w:b w:val="false"/>
                <w:i w:val="false"/>
                <w:color w:val="000000"/>
                <w:sz w:val="21"/>
              </w:rPr>
              <w:t>Birth Defects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遗传罕见病学</w:t>
            </w:r>
            <w:r>
              <w:br/>
            </w:r>
            <w:r>
              <w:br/>
            </w:r>
            <w:r>
              <w:rPr>
                <w:rFonts w:ascii="SimSun" w:hAnsi="SimSun"/>
                <w:b w:val="false"/>
                <w:i w:val="false"/>
                <w:color w:val="000000"/>
                <w:sz w:val="21"/>
              </w:rPr>
              <w:t>Genetic rare disease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其他专业选修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修读其他MED代码的本科生课程，不超过8学分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任意选修1.5学分，可在全校所有本科生课程中任意选修。专业进阶模块II若有多修读学分，可替代任意选修。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2个非本专业独立开设的学程（临床医学专业学生不可修读临床医学院开设的学程），可选择专业学程或跨学科学程。学分不足部分可在全校所有本科生课程中任意选修。完成跨学科发展路径的学生，不能向临床医学院申请推免直研资格，临床医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1个非本专业独立开设的专业学程或跨学科学程（临床医学专业学生不可修读临床医学院开设的学程）和1个创新创业学院开设的创新创业学程，学分不足部分可在全校所有本科生课程中任意选修。完成创新创业路径的学生，不能向临床医学院申请推免直研资格，临床医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要求至少修读完成本专业进阶模块I课程和1个辅修学士学位项目，辅修学士学位应与主修学士学位归属不同的本科专业大类。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不能向临床医学院申请推免直研资格，临床医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（2）多元发展路径中，辅修学士学位项目或专业进阶模块I均可以冲抵学程，专业培养和多元发展路径共享的课程只计算一次学分。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完成专业进阶模块I和1个非本专业独立开设的学程（临床医学专业学生不可修读临床医学院开设的学程）的学生，仍被视作选择跨学科发展路径，不能向临床医学院申请推免直研资格，临床医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眼科实习、耳鼻喉科实习二选一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外科实习（儿科学方向）</w:t>
            </w:r>
            <w:r>
              <w:br/>
            </w:r>
            <w:r>
              <w:br/>
            </w:r>
            <w:r>
              <w:rPr>
                <w:rFonts w:ascii="SimSun" w:hAnsi="SimSun"/>
                <w:b w:val="false"/>
                <w:i w:val="false"/>
                <w:color w:val="000000"/>
                <w:sz w:val="21"/>
              </w:rPr>
              <w:t>Surgery Internship(Pediatrics)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儿科实习（儿科卓越班）</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预防医学实习</w:t>
            </w:r>
            <w:r>
              <w:br/>
            </w:r>
            <w:r>
              <w:br/>
            </w:r>
            <w:r>
              <w:rPr>
                <w:rFonts w:ascii="SimSun" w:hAnsi="SimSun"/>
                <w:b w:val="false"/>
                <w:i w:val="false"/>
                <w:color w:val="000000"/>
                <w:sz w:val="21"/>
              </w:rPr>
              <w:t>Preventive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与耳鼻喉科实习二选一</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与眼科实习二选一</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