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公共卫生学院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2025公共事业管理专业本科培养方案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一流公共卫生与预防医学学科是保障国家公共卫生安全、实现健康中国建设这一国家重大发展战略的必要支撑。复旦大学公共卫生与预防医学学科是教育部“双一流”建设学科，在最新一轮教育部学科评估中获评顶尖成绩。入选国家高水平公共卫生学院、上海市I类高峰学科。本专业立足于国家社会经济和公共卫生的发展需求，服务于“健康中国”和“全球健康”国家战略，以保障人群健康、控制重大疾病和贡献科学决策为目标，为国家公共卫生事业的高质量发展提供强有力的人才支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具有现代管理学科的基本理论和基本方法；了解卫生事业发展趋势和医学科学的基本规律，具备获得交流信息的能力；政策和项目执行及评估的能力，并能运用所学知识分析解决实际问题的德、智、体全面发展的卫生事业管理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要求学生掌握现代管理学、经济学的基本理论和基本知识；对自然科学、人文和社会科学有一定了解，熟悉卫生事业发展趋势和有关的医学知识；熟练掌握一门外语，具有较强的计算机应用能力，能够熟练使用常用统计软件，并有综合运用所学知识分析解决问题的能力；具有一定的科研能力和实际工作能力。</w:t>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803"/>
        <w:gridCol w:w="3808"/>
        <w:gridCol w:w="800"/>
        <w:gridCol w:w="800"/>
        <w:gridCol w:w="2880"/>
        <w:gridCol w:w="34"/>
        <w:gridCol w:w="35"/>
        <w:gridCol w:w="1280"/>
        <w:gridCol w:w="1600"/>
      </w:tblGrid>
      <w:tr>
        <w:trPr>
          <w:trHeight w:val="240" w:hRule="atLeast"/>
        </w:trPr>
        <w:tc>
          <w:tcPr>
            <w:tcW w:w="0" w:type="auto"/>
            <w:gridSpan w:val="7"/>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1.修业年限：4年（类型：√本科、□本硕、□本博）</w:t>
            </w:r>
          </w:p>
        </w:tc>
        <w:tc>
          <w:tcPr>
            <w:tcW w:w="1280" w:type="dxa"/>
            <w:tcBorders>
              <w:bottom w:val="single" w:color="000000" w:sz="8"/>
              <w:right w:val="single" w:color="000000" w:sz="8"/>
            </w:tcBorders>
            <w:tcMar>
              <w:top w:w="15" w:type="dxa"/>
              <w:left w:w="15" w:type="dxa"/>
              <w:bottom w:w="15" w:type="dxa"/>
              <w:right w:w="15" w:type="dxa"/>
            </w:tcMar>
            <w:vAlign w:val="center"/>
          </w:tcPr>
          <w:p/>
        </w:tc>
        <w:tc>
          <w:tcPr>
            <w:tcW w:w="1600" w:type="dxa"/>
            <w:tcBorders>
              <w:bottom w:val="single" w:color="000000" w:sz="8"/>
              <w:right w:val="single" w:color="000000" w:sz="8"/>
            </w:tcBorders>
            <w:tcMar>
              <w:top w:w="15" w:type="dxa"/>
              <w:left w:w="15" w:type="dxa"/>
              <w:bottom w:w="15" w:type="dxa"/>
              <w:right w:w="15" w:type="dxa"/>
            </w:tcMar>
            <w:vAlign w:val="center"/>
          </w:tcPr>
          <w:p/>
        </w:tc>
      </w:tr>
      <w:tr>
        <w:trPr>
          <w:trHeight w:val="240"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80" w:hRule="atLeast"/>
        </w:trPr>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8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8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240" w:hRule="atLeast"/>
        </w:trPr>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管理学学士</w:t>
            </w:r>
          </w:p>
        </w:tc>
        <w:tc>
          <w:tcPr>
            <w:tcW w:w="80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0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公共事业管理</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240"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√按照不少于学分数 157.5</w:t>
            </w:r>
          </w:p>
        </w:tc>
      </w:tr>
      <w:tr>
        <w:trPr>
          <w:trHeight w:val="240"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28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通识教育课程44学分</w:t>
            </w:r>
          </w:p>
        </w:tc>
      </w:tr>
      <w:tr>
        <w:trPr>
          <w:trHeight w:val="270"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专业培养课程77.5学分</w:t>
            </w:r>
          </w:p>
        </w:tc>
      </w:tr>
      <w:tr>
        <w:trPr>
          <w:trHeight w:val="240"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专业进阶模块28学分</w:t>
            </w:r>
          </w:p>
        </w:tc>
      </w:tr>
      <w:tr>
        <w:trPr>
          <w:trHeight w:val="990"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融合创新能力模块8学分</w:t>
            </w:r>
          </w:p>
        </w:tc>
      </w:tr>
      <w:tr>
        <w:trPr>
          <w:trHeight w:val="2670"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031067" cy="1303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031067" cy="1303867"/>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72"/>
        <w:gridCol w:w="1272"/>
        <w:gridCol w:w="1272"/>
        <w:gridCol w:w="1272"/>
        <w:gridCol w:w="1272"/>
        <w:gridCol w:w="1272"/>
        <w:gridCol w:w="1272"/>
        <w:gridCol w:w="1272"/>
        <w:gridCol w:w="1281"/>
        <w:gridCol w:w="1281"/>
        <w:gridCol w:w="1282"/>
      </w:tblGrid>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专业进阶路径：157.5学分</w:t>
            </w:r>
          </w:p>
        </w:tc>
      </w:tr>
      <w:tr>
        <w:trPr>
          <w:trHeight w:val="96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157.5学分（含实践学分不低于25学分；含美育学分不少于2学分，其中至少在“美学和艺术史论类”或“艺术鉴赏和评论类”课程中修读1学分，并至少参与一项艺术实践活动；劳动教育不少于32学时，并满足劳动周教育要求），包括通识教育课程44学分、专业培养课程77.5学分、专业进阶模块修读28学分、融合创新能力模块8学分。</w:t>
            </w:r>
          </w:p>
        </w:tc>
      </w:tr>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跨学科学发展路径：159.5学分</w:t>
            </w:r>
          </w:p>
        </w:tc>
      </w:tr>
      <w:tr>
        <w:trPr>
          <w:trHeight w:val="192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w:t>
            </w:r>
          </w:p>
        </w:tc>
      </w:tr>
    </w:tbl>
    <w:p>
      <w:pPr>
        <w:spacing w:after="0"/>
        <w:ind w:left="0"/>
        <w:jc w:val="left"/>
      </w:pPr>
      <w:r>
        <w:rPr>
          <w:rFonts w:ascii="SimSun" w:hAnsi="SimSun"/>
          <w:b/>
          <w:i w:val="false"/>
          <w:color w:val="000000"/>
          <w:sz w:val="24"/>
        </w:rPr>
        <w:t xml:space="preserve">
       六.    学位要求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38"/>
        <w:gridCol w:w="1238"/>
        <w:gridCol w:w="1238"/>
        <w:gridCol w:w="1240"/>
        <w:gridCol w:w="1240"/>
        <w:gridCol w:w="1240"/>
        <w:gridCol w:w="1240"/>
        <w:gridCol w:w="1240"/>
        <w:gridCol w:w="1240"/>
        <w:gridCol w:w="1240"/>
        <w:gridCol w:w="1240"/>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本科学位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4年级结束时，如达到学士学位要求者授予管理学学士学位。  </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bl>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供参考，以课程列表为准。</w:t>
      </w:r>
    </w:p>
    <w:p>
      <w:pPr>
        <w:spacing w:after="0"/>
        <w:ind w:left="0"/>
        <w:jc w:val="left"/>
      </w:pPr>
      <w:r>
        <w:drawing>
          <wp:inline distT="0" distB="0" distL="0" distR="0">
            <wp:extent cx="3522133" cy="1608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522133" cy="16086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（77.5学分）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（25学分）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线性代数Ⅰ</w:t>
            </w:r>
            <w:r>
              <w:br/>
            </w:r>
            <w:r>
              <w:br/>
            </w:r>
            <w:r>
              <w:rPr>
                <w:rFonts w:ascii="SimSun" w:hAnsi="SimSun"/>
                <w:b w:val="false"/>
                <w:i w:val="false"/>
                <w:color w:val="000000"/>
                <w:sz w:val="21"/>
              </w:rPr>
              <w:t>Linear Algebra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选修课程</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（46.5学分）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要求修读46.5学分，设置如下：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经济学原理</w:t>
            </w:r>
            <w:r>
              <w:br/>
            </w:r>
            <w:r>
              <w:br/>
            </w:r>
            <w:r>
              <w:rPr>
                <w:rFonts w:ascii="SimSun" w:hAnsi="SimSun"/>
                <w:b w:val="false"/>
                <w:i w:val="false"/>
                <w:color w:val="000000"/>
                <w:sz w:val="21"/>
              </w:rPr>
              <w:t>Principles of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公共卫生导论</w:t>
            </w:r>
            <w:r>
              <w:br/>
            </w:r>
            <w:r>
              <w:br/>
            </w:r>
            <w:r>
              <w:rPr>
                <w:rFonts w:ascii="SimSun" w:hAnsi="SimSun"/>
                <w:b w:val="false"/>
                <w:i w:val="false"/>
                <w:color w:val="000000"/>
                <w:sz w:val="21"/>
              </w:rPr>
              <w:t>Introduction to Public Health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PHPM10002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卫生经济学</w:t>
            </w:r>
            <w:r>
              <w:br/>
            </w:r>
            <w:r>
              <w:br/>
            </w:r>
            <w:r>
              <w:rPr>
                <w:rFonts w:ascii="SimSun" w:hAnsi="SimSun"/>
                <w:b w:val="false"/>
                <w:i w:val="false"/>
                <w:color w:val="000000"/>
                <w:sz w:val="21"/>
              </w:rPr>
              <w:t>Health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卫生法与卫生监督</w:t>
            </w:r>
            <w:r>
              <w:br/>
            </w:r>
            <w:r>
              <w:br/>
            </w:r>
            <w:r>
              <w:rPr>
                <w:rFonts w:ascii="SimSun" w:hAnsi="SimSun"/>
                <w:b w:val="false"/>
                <w:i w:val="false"/>
                <w:color w:val="000000"/>
                <w:sz w:val="21"/>
              </w:rPr>
              <w:t>Health Law and Health Inspection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卫生管理运筹学</w:t>
            </w:r>
            <w:r>
              <w:br/>
            </w:r>
            <w:r>
              <w:br/>
            </w:r>
            <w:r>
              <w:rPr>
                <w:rFonts w:ascii="SimSun" w:hAnsi="SimSun"/>
                <w:b w:val="false"/>
                <w:i w:val="false"/>
                <w:color w:val="000000"/>
                <w:sz w:val="21"/>
              </w:rPr>
              <w:t>Operations in Health Services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组织行为学：卫生视角</w:t>
            </w:r>
            <w:r>
              <w:br/>
            </w:r>
            <w:r>
              <w:br/>
            </w:r>
            <w:r>
              <w:rPr>
                <w:rFonts w:ascii="SimSun" w:hAnsi="SimSun"/>
                <w:b w:val="false"/>
                <w:i w:val="false"/>
                <w:color w:val="000000"/>
                <w:sz w:val="21"/>
              </w:rPr>
              <w:t>Organizationmal Behavior in Health Care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流行病学</w:t>
            </w:r>
            <w:r>
              <w:br/>
            </w:r>
            <w:r>
              <w:br/>
            </w:r>
            <w:r>
              <w:rPr>
                <w:rFonts w:ascii="SimSun" w:hAnsi="SimSun"/>
                <w:b w:val="false"/>
                <w:i w:val="false"/>
                <w:color w:val="000000"/>
                <w:sz w:val="21"/>
              </w:rPr>
              <w:t>Epidemiology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预防医学导论</w:t>
            </w:r>
            <w:r>
              <w:br/>
            </w:r>
            <w:r>
              <w:br/>
            </w:r>
            <w:r>
              <w:rPr>
                <w:rFonts w:ascii="SimSun" w:hAnsi="SimSun"/>
                <w:b w:val="false"/>
                <w:i w:val="false"/>
                <w:color w:val="000000"/>
                <w:sz w:val="21"/>
              </w:rPr>
              <w:t>Introduction to Preventive Medicine　</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卫生事业管理学</w:t>
            </w:r>
            <w:r>
              <w:br/>
            </w:r>
            <w:r>
              <w:br/>
            </w:r>
            <w:r>
              <w:rPr>
                <w:rFonts w:ascii="SimSun" w:hAnsi="SimSun"/>
                <w:b w:val="false"/>
                <w:i w:val="false"/>
                <w:color w:val="000000"/>
                <w:sz w:val="21"/>
              </w:rPr>
              <w:t>Health Service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医院管理学</w:t>
            </w:r>
            <w:r>
              <w:br/>
            </w:r>
            <w:r>
              <w:br/>
            </w:r>
            <w:r>
              <w:rPr>
                <w:rFonts w:ascii="SimSun" w:hAnsi="SimSun"/>
                <w:b w:val="false"/>
                <w:i w:val="false"/>
                <w:color w:val="000000"/>
                <w:sz w:val="21"/>
              </w:rPr>
              <w:t>Hospital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医疗保险</w:t>
            </w:r>
            <w:r>
              <w:br/>
            </w:r>
            <w:r>
              <w:br/>
            </w:r>
            <w:r>
              <w:rPr>
                <w:rFonts w:ascii="SimSun" w:hAnsi="SimSun"/>
                <w:b w:val="false"/>
                <w:i w:val="false"/>
                <w:color w:val="000000"/>
                <w:sz w:val="21"/>
              </w:rPr>
              <w:t>Health Insurance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卫生政策研究理论</w:t>
            </w:r>
            <w:r>
              <w:br/>
            </w:r>
            <w:r>
              <w:br/>
            </w:r>
            <w:r>
              <w:rPr>
                <w:rFonts w:ascii="SimSun" w:hAnsi="SimSun"/>
                <w:b w:val="false"/>
                <w:i w:val="false"/>
                <w:color w:val="000000"/>
                <w:sz w:val="21"/>
              </w:rPr>
              <w:t>Theory of Health Policy Research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管理信息系统</w:t>
            </w:r>
            <w:r>
              <w:br/>
            </w:r>
            <w:r>
              <w:br/>
            </w:r>
            <w:r>
              <w:rPr>
                <w:rFonts w:ascii="SimSun" w:hAnsi="SimSun"/>
                <w:b w:val="false"/>
                <w:i w:val="false"/>
                <w:color w:val="000000"/>
                <w:sz w:val="21"/>
              </w:rPr>
              <w:t>Management Information Systems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MSE20003</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包括专业进阶路径、跨学科发展路径等，要求在院系专业导师指导下选择1条发展路径，按路径要求修读课程。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修满28学分。要求在本专业专业进阶模块修读28学分。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专业进阶模块Ⅰ</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正常人体形态与功能学IB</w:t>
            </w:r>
            <w:r>
              <w:br/>
            </w:r>
            <w:r>
              <w:br/>
            </w:r>
            <w:r>
              <w:rPr>
                <w:rFonts w:ascii="SimSun" w:hAnsi="SimSun"/>
                <w:b w:val="false"/>
                <w:i w:val="false"/>
                <w:color w:val="000000"/>
                <w:sz w:val="21"/>
              </w:rPr>
              <w:t>Normal Structure and Functions of the Human Body IB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正常人体形态与功能学ⅡB</w:t>
            </w:r>
            <w:r>
              <w:br/>
            </w:r>
            <w:r>
              <w:br/>
            </w:r>
            <w:r>
              <w:rPr>
                <w:rFonts w:ascii="SimSun" w:hAnsi="SimSun"/>
                <w:b w:val="false"/>
                <w:i w:val="false"/>
                <w:color w:val="000000"/>
                <w:sz w:val="21"/>
              </w:rPr>
              <w:t>Normal Structure and Functions of the Human Body IIB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正常人体形态与功能学ⅢB</w:t>
            </w:r>
            <w:r>
              <w:br/>
            </w:r>
            <w:r>
              <w:br/>
            </w:r>
            <w:r>
              <w:rPr>
                <w:rFonts w:ascii="SimSun" w:hAnsi="SimSun"/>
                <w:b w:val="false"/>
                <w:i w:val="false"/>
                <w:color w:val="000000"/>
                <w:sz w:val="21"/>
              </w:rPr>
              <w:t>Normal Structure and Functions of the Human Body IIIB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正常人体形态与功能学ⅣB</w:t>
            </w:r>
            <w:r>
              <w:br/>
            </w:r>
            <w:r>
              <w:br/>
            </w:r>
            <w:r>
              <w:rPr>
                <w:rFonts w:ascii="SimSun" w:hAnsi="SimSun"/>
                <w:b w:val="false"/>
                <w:i w:val="false"/>
                <w:color w:val="000000"/>
                <w:sz w:val="21"/>
              </w:rPr>
              <w:t>Normal Structure and Functions of the Human Body IVB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疾病机制</w:t>
            </w:r>
            <w:r>
              <w:br/>
            </w:r>
            <w:r>
              <w:br/>
            </w:r>
            <w:r>
              <w:rPr>
                <w:rFonts w:ascii="SimSun" w:hAnsi="SimSun"/>
                <w:b w:val="false"/>
                <w:i w:val="false"/>
                <w:color w:val="000000"/>
                <w:sz w:val="21"/>
              </w:rPr>
              <w:t>Pathological Mechanisms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诊断学C</w:t>
            </w:r>
            <w:r>
              <w:br/>
            </w:r>
            <w:r>
              <w:br/>
            </w:r>
            <w:r>
              <w:rPr>
                <w:rFonts w:ascii="SimSun" w:hAnsi="SimSun"/>
                <w:b w:val="false"/>
                <w:i w:val="false"/>
                <w:color w:val="000000"/>
                <w:sz w:val="21"/>
              </w:rPr>
              <w:t>Diagnostics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MED30041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医学文献检索与利用B</w:t>
            </w:r>
            <w:r>
              <w:br/>
            </w:r>
            <w:r>
              <w:br/>
            </w:r>
            <w:r>
              <w:rPr>
                <w:rFonts w:ascii="SimSun" w:hAnsi="SimSun"/>
                <w:b w:val="false"/>
                <w:i w:val="false"/>
                <w:color w:val="000000"/>
                <w:sz w:val="21"/>
              </w:rPr>
              <w:t>Medical Information Retrieval and Applications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从生物学和统计学视角看人类疾病</w:t>
            </w:r>
            <w:r>
              <w:br/>
            </w:r>
            <w:r>
              <w:br/>
            </w:r>
            <w:r>
              <w:rPr>
                <w:rFonts w:ascii="SimSun" w:hAnsi="SimSun"/>
                <w:b w:val="false"/>
                <w:i w:val="false"/>
                <w:color w:val="000000"/>
                <w:sz w:val="21"/>
              </w:rPr>
              <w:t>Biological and Statistical Perspectives on Human Disease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MED130266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公共卫生监督学</w:t>
            </w:r>
            <w:r>
              <w:br/>
            </w:r>
            <w:r>
              <w:br/>
            </w:r>
            <w:r>
              <w:rPr>
                <w:rFonts w:ascii="SimSun" w:hAnsi="SimSun"/>
                <w:b w:val="false"/>
                <w:i w:val="false"/>
                <w:color w:val="000000"/>
                <w:sz w:val="21"/>
              </w:rPr>
              <w:t>Public Health Inspection　</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卫生人力规划</w:t>
            </w:r>
            <w:r>
              <w:br/>
            </w:r>
            <w:r>
              <w:br/>
            </w:r>
            <w:r>
              <w:rPr>
                <w:rFonts w:ascii="SimSun" w:hAnsi="SimSun"/>
                <w:b w:val="false"/>
                <w:i w:val="false"/>
                <w:color w:val="000000"/>
                <w:sz w:val="21"/>
              </w:rPr>
              <w:t>Health and Human Resources Development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健康心理学</w:t>
            </w:r>
            <w:r>
              <w:br/>
            </w:r>
            <w:r>
              <w:br/>
            </w:r>
            <w:r>
              <w:rPr>
                <w:rFonts w:ascii="SimSun" w:hAnsi="SimSun"/>
                <w:b w:val="false"/>
                <w:i w:val="false"/>
                <w:color w:val="000000"/>
                <w:sz w:val="21"/>
              </w:rPr>
              <w:t>Health Psychology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医学生职业生涯规划</w:t>
            </w:r>
            <w:r>
              <w:br/>
            </w:r>
            <w:r>
              <w:br/>
            </w:r>
            <w:r>
              <w:rPr>
                <w:rFonts w:ascii="SimSun" w:hAnsi="SimSun"/>
                <w:b w:val="false"/>
                <w:i w:val="false"/>
                <w:color w:val="000000"/>
                <w:sz w:val="21"/>
              </w:rPr>
              <w:t>Career Planning for Medical Students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PHPM10003</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专业进阶模块Ⅱ</w:t>
      </w:r>
      <w:r>
        <w:rPr>
          <w:rFonts w:ascii="SimSun" w:hAnsi="SimSun"/>
          <w:b/>
          <w:i w:val="false"/>
          <w:color w:val="000000"/>
          <w:sz w:val="21"/>
        </w:rPr>
        <w:t>（13学分）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卫生统计学B</w:t>
            </w:r>
            <w:r>
              <w:br/>
            </w:r>
            <w:r>
              <w:br/>
            </w:r>
            <w:r>
              <w:rPr>
                <w:rFonts w:ascii="SimSun" w:hAnsi="SimSun"/>
                <w:b w:val="false"/>
                <w:i w:val="false"/>
                <w:color w:val="000000"/>
                <w:sz w:val="21"/>
              </w:rPr>
              <w:t>Health Statistics B　</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PHPM30010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卫生服务研究</w:t>
            </w:r>
            <w:r>
              <w:br/>
            </w:r>
            <w:r>
              <w:br/>
            </w:r>
            <w:r>
              <w:rPr>
                <w:rFonts w:ascii="SimSun" w:hAnsi="SimSun"/>
                <w:b w:val="false"/>
                <w:i w:val="false"/>
                <w:color w:val="000000"/>
                <w:sz w:val="21"/>
              </w:rPr>
              <w:t>Health Services Research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PHPM40009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卫生管理研究设计</w:t>
            </w:r>
            <w:r>
              <w:br/>
            </w:r>
            <w:r>
              <w:br/>
            </w:r>
            <w:r>
              <w:rPr>
                <w:rFonts w:ascii="SimSun" w:hAnsi="SimSun"/>
                <w:b w:val="false"/>
                <w:i w:val="false"/>
                <w:color w:val="000000"/>
                <w:sz w:val="21"/>
              </w:rPr>
              <w:t>Design of Healthcare Management Research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科学写作：聚焦群医学</w:t>
            </w:r>
            <w:r>
              <w:br/>
            </w:r>
            <w:r>
              <w:br/>
            </w:r>
            <w:r>
              <w:rPr>
                <w:rFonts w:ascii="SimSun" w:hAnsi="SimSun"/>
                <w:b w:val="false"/>
                <w:i w:val="false"/>
                <w:color w:val="000000"/>
                <w:sz w:val="21"/>
              </w:rPr>
              <w:t>Scientific Writing: Focusing on Population-based Medicine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30</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行为经济学与公众健康</w:t>
            </w:r>
            <w:r>
              <w:br/>
            </w:r>
            <w:r>
              <w:br/>
            </w:r>
            <w:r>
              <w:rPr>
                <w:rFonts w:ascii="SimSun" w:hAnsi="SimSun"/>
                <w:b w:val="false"/>
                <w:i w:val="false"/>
                <w:color w:val="000000"/>
                <w:sz w:val="21"/>
              </w:rPr>
              <w:t>Behavioral Economics and Public Health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PHPM130116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卫生管理预测与决策分析</w:t>
            </w:r>
            <w:r>
              <w:br/>
            </w:r>
            <w:r>
              <w:br/>
            </w:r>
            <w:r>
              <w:rPr>
                <w:rFonts w:ascii="SimSun" w:hAnsi="SimSun"/>
                <w:b w:val="false"/>
                <w:i w:val="false"/>
                <w:color w:val="000000"/>
                <w:sz w:val="21"/>
              </w:rPr>
              <w:t>Forecasting and Decision Making in Health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生殖健康进展</w:t>
            </w:r>
            <w:r>
              <w:br/>
            </w:r>
            <w:r>
              <w:br/>
            </w:r>
            <w:r>
              <w:rPr>
                <w:rFonts w:ascii="SimSun" w:hAnsi="SimSun"/>
                <w:b w:val="false"/>
                <w:i w:val="false"/>
                <w:color w:val="000000"/>
                <w:sz w:val="21"/>
              </w:rPr>
              <w:t>Progress in Reproductive Health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PHPM130035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管理与沟通技巧</w:t>
            </w:r>
            <w:r>
              <w:br/>
            </w:r>
            <w:r>
              <w:br/>
            </w:r>
            <w:r>
              <w:rPr>
                <w:rFonts w:ascii="SimSun" w:hAnsi="SimSun"/>
                <w:b w:val="false"/>
                <w:i w:val="false"/>
                <w:color w:val="000000"/>
                <w:sz w:val="21"/>
              </w:rPr>
              <w:t>Management and Communication Skills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妇幼卫生学概论</w:t>
            </w:r>
            <w:r>
              <w:br/>
            </w:r>
            <w:r>
              <w:br/>
            </w:r>
            <w:r>
              <w:rPr>
                <w:rFonts w:ascii="SimSun" w:hAnsi="SimSun"/>
                <w:b w:val="false"/>
                <w:i w:val="false"/>
                <w:color w:val="000000"/>
                <w:sz w:val="21"/>
              </w:rPr>
              <w:t>Introduction to Maternal and Child Health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PHPM10001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医学人口统计学</w:t>
            </w:r>
            <w:r>
              <w:br/>
            </w:r>
            <w:r>
              <w:br/>
            </w:r>
            <w:r>
              <w:rPr>
                <w:rFonts w:ascii="SimSun" w:hAnsi="SimSun"/>
                <w:b w:val="false"/>
                <w:i w:val="false"/>
                <w:color w:val="000000"/>
                <w:sz w:val="21"/>
              </w:rPr>
              <w:t>Medical Demography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全球卫生导论</w:t>
            </w:r>
            <w:r>
              <w:br/>
            </w:r>
            <w:r>
              <w:br/>
            </w:r>
            <w:r>
              <w:rPr>
                <w:rFonts w:ascii="SimSun" w:hAnsi="SimSun"/>
                <w:b w:val="false"/>
                <w:i w:val="false"/>
                <w:color w:val="000000"/>
                <w:sz w:val="21"/>
              </w:rPr>
              <w:t>Introduction to Global Hygiene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卫生经济评价方法</w:t>
            </w:r>
            <w:r>
              <w:br/>
            </w:r>
            <w:r>
              <w:br/>
            </w:r>
            <w:r>
              <w:rPr>
                <w:rFonts w:ascii="SimSun" w:hAnsi="SimSun"/>
                <w:b w:val="false"/>
                <w:i w:val="false"/>
                <w:color w:val="000000"/>
                <w:sz w:val="21"/>
              </w:rPr>
              <w:t>Method of Health Economic Evaluation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PHPM50003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卫生技术评估导论</w:t>
            </w:r>
            <w:r>
              <w:br/>
            </w:r>
            <w:r>
              <w:br/>
            </w:r>
            <w:r>
              <w:rPr>
                <w:rFonts w:ascii="SimSun" w:hAnsi="SimSun"/>
                <w:b w:val="false"/>
                <w:i w:val="false"/>
                <w:color w:val="000000"/>
                <w:sz w:val="21"/>
              </w:rPr>
              <w:t>Introduction to Health Technology Assessment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w:t>
            </w:r>
            <w:r>
              <w:br/>
            </w:r>
            <w:r>
              <w:br/>
            </w:r>
            <w:r>
              <w:rPr>
                <w:rFonts w:ascii="SimSun" w:hAnsi="SimSun"/>
                <w:b w:val="false"/>
                <w:i w:val="false"/>
                <w:color w:val="000000"/>
                <w:sz w:val="21"/>
              </w:rPr>
              <w:t>Frontier Topics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PHPM130087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健康公平</w:t>
            </w:r>
            <w:r>
              <w:br/>
            </w:r>
            <w:r>
              <w:br/>
            </w:r>
            <w:r>
              <w:rPr>
                <w:rFonts w:ascii="SimSun" w:hAnsi="SimSun"/>
                <w:b w:val="false"/>
                <w:i w:val="false"/>
                <w:color w:val="000000"/>
                <w:sz w:val="21"/>
              </w:rPr>
              <w:t>Health equity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大数据与统计模拟在公共卫生中的应用</w:t>
            </w:r>
            <w:r>
              <w:br/>
            </w:r>
            <w:r>
              <w:br/>
            </w:r>
            <w:r>
              <w:rPr>
                <w:rFonts w:ascii="SimSun" w:hAnsi="SimSun"/>
                <w:b w:val="false"/>
                <w:i w:val="false"/>
                <w:color w:val="000000"/>
                <w:sz w:val="21"/>
              </w:rPr>
              <w:t>Application of Big Data and Statistical Simulation in Public Health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疫苗与传染病防控</w:t>
            </w:r>
            <w:r>
              <w:br/>
            </w:r>
            <w:r>
              <w:br/>
            </w:r>
            <w:r>
              <w:rPr>
                <w:rFonts w:ascii="SimSun" w:hAnsi="SimSun"/>
                <w:b w:val="false"/>
                <w:i w:val="false"/>
                <w:color w:val="000000"/>
                <w:sz w:val="21"/>
              </w:rPr>
              <w:t>Vaccines and Infectious Disease Prevention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心理与饮食行为</w:t>
            </w:r>
            <w:r>
              <w:br/>
            </w:r>
            <w:r>
              <w:br/>
            </w:r>
            <w:r>
              <w:rPr>
                <w:rFonts w:ascii="SimSun" w:hAnsi="SimSun"/>
                <w:b w:val="false"/>
                <w:i w:val="false"/>
                <w:color w:val="000000"/>
                <w:sz w:val="21"/>
              </w:rPr>
              <w:t>Psychology of eating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PHPM50001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卫生学评价</w:t>
            </w:r>
            <w:r>
              <w:br/>
            </w:r>
            <w:r>
              <w:br/>
            </w:r>
            <w:r>
              <w:rPr>
                <w:rFonts w:ascii="SimSun" w:hAnsi="SimSun"/>
                <w:b w:val="false"/>
                <w:i w:val="false"/>
                <w:color w:val="000000"/>
                <w:sz w:val="21"/>
              </w:rPr>
              <w:t>Hygenic Evaluation</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PHPM40008</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任意选修</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专业进阶I和1个非本专业独立开设的学程，或者2个非本专业独立开设的学程，可选择专业学程或跨学科学程。学分不足部分可在全校所有本科生课程中任意选修。学程课程详见教务处学程项目网页，下载地址：https://jwc.fudan.edu.cn/（复旦大学教务处）专业培养-常用文档。完成跨学科发展路径的学生可获得相应的学程证书，毕业时将获得公共事业管理（跨学科学程）毕业证书及学士学位证书，但不能申请公共卫生学院推免直研资格，公共卫生学院也不为其提供专业排名。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专业进阶I或1个非本专业独立开设的专业学程或跨学科学程，以及1个创新创业学院开设的创新创业学程，学分不足部分可在全校所有本科生课程中任意选修。创新创业学程课程详见教务处学程项目网页，下载地址：https://jwc.fudan.edu.cn/（复旦大学教务处）专业培养-常用文档。完成创新创业路径的学生毕业时将获得公共事业管理(卫生管理方向)（创新创业应用）毕业证书及学士学位证书，但不能申请推免直研资格，公共卫生学院也不为其提供专业排名。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要求修读本专业的专业进阶课程模块I修读15学分和1个辅修学士学位项目，辅修学士学位应与主修学士学位归属不同的本科专业大类。辅修学士学位项目课程设置详见教务处辅修学士学位项目网页。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1.鼓励完成1项德隆项目或复芏计划（FDUROP）项目，激发创新志趣。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2.多渠道支持学生参加国内国际高水平学术交流，鼓励学生参加国内国际高水平创新竞赛（中国国际大学生创新大赛、“挑战杯”全国大学生课外学术科技作品竞赛、全国大学生健康科普大赛等）。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生产见习</w:t>
            </w:r>
            <w:r>
              <w:br/>
            </w:r>
            <w:r>
              <w:br/>
            </w:r>
            <w:r>
              <w:rPr>
                <w:rFonts w:ascii="SimSun" w:hAnsi="SimSun"/>
                <w:b w:val="false"/>
                <w:i w:val="false"/>
                <w:color w:val="000000"/>
                <w:sz w:val="21"/>
              </w:rPr>
              <w:t>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需要承担1项德隆或复芏计划项目，详见复旦大学本科生学术研究资助计划管理办法。</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