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2025信息管理与信息系统（商业AI应用，AI系统开发）-管理科学与工程本博融通培养方案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信息管理与信息系统专业作为管理与信息技术的交叉学科，起源于1985年的复旦大学管理科学系，并于2000年正式成立管理信息系统系，是国内最早开设此专业的高校之一，现有23位具有管理科学、信息系统、计算机科学、自动化学科背景的教师组成专业团队，于2021年改现名。该专业致力于培养能够优化和创新信息技术在管理中的应用，以提升社会生产力的新时代科研领袖和复合型企业决策者。专业课程先后入选国家级精品课和国家级一流本科课程，通过整合计算机科学、管理学等多方面的知识，专业成功地从技术型转变为技术与管理复合型，专注于解决现代企业和组织中信息系统采纳和应用的相关管理问题。根据全球信息系统协会（AIS）和全球商学院（UTD）高质量科研发表统计，本专业科研成果分别位于全球第26名和23名；QS统计中，本专业归属的计算机科学与信息系统位于全球39位。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具备现代管理学理论基础、计算机科学技术知识及应用能力，掌握系统思想和信息系统分析与设计方法以及信息管理等方面的知识与能力，能在国家各级管理部门、工商企业、金融机构、科研单位等部门从事商业智能应用、信息管理以及信息系统分析、设计、实施和咨询的高级专门人才。</w:t>
      </w:r>
      <w:r>
        <w:br/>
      </w:r>
      <w:r>
        <w:br/>
      </w:r>
      <w:r>
        <w:rPr>
          <w:rFonts w:ascii="SimSun" w:hAnsi="SimSun"/>
          <w:b w:val="false"/>
          <w:i w:val="false"/>
          <w:color w:val="000000"/>
          <w:sz w:val="21"/>
        </w:rPr>
        <w:t xml:space="preserve">   要求学生掌握信息管理和信息系统的基本理论、基本知识；掌握管理信息系统的分析方法、设计方法和实现技术；掌握以机器学习为代表的商业智能分析技术；具有信息组织、分析研究、传播与开发利用的基本能力；具有综合运用所学知识分析和解决问题的基本能力；了解本专业相关领域的发展动态；熟练掌握一门外语；掌握文献检索、资料查询、收集的基本方法，具有一定的科研能力和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2878667" cy="1794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78667" cy="1794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信息管理与信息系统</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信息管理与信息系统</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信息管理与信息系统</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810000"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0000" cy="1286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本研融通专业进阶路径：159学分                                                                   </w:t>
      </w:r>
    </w:p>
    <w:p>
      <w:pPr>
        <w:spacing w:after="0"/>
        <w:ind w:left="0"/>
        <w:jc w:val="left"/>
      </w:pPr>
      <w:r>
        <w:rPr>
          <w:rFonts w:ascii="SimSun" w:hAnsi="SimSun"/>
          <w:b w:val="false"/>
          <w:i w:val="false"/>
          <w:color w:val="000000"/>
          <w:sz w:val="21"/>
        </w:rPr>
        <w:t xml:space="preserve">    本路径学生本博期间必须修满教学计划规定的159学分，包括通识教育课程44学分、专业培养课程61学分、专业进阶模39学分、融合创新能力模块15学分的修读。</w:t>
      </w:r>
    </w:p>
    <w:p>
      <w:pPr>
        <w:spacing w:after="0"/>
        <w:ind w:left="0"/>
        <w:jc w:val="left"/>
      </w:pPr>
      <w:r>
        <w:rPr>
          <w:rFonts w:ascii="SimSun" w:hAnsi="SimSun"/>
          <w:b w:val="false"/>
          <w:i w:val="false"/>
          <w:color w:val="000000"/>
          <w:sz w:val="21"/>
        </w:rPr>
        <w:t xml:space="preserve">    其中，本科学段需要完成136学分（含实践学分不低于24学分；含美育学分不少于2学分，其中至少在“美学和艺术史论类”或“艺术鉴赏和评论类”课程中修读1学分，并至少参与一项艺术实践活动；劳动教育不少于32学时，并满足劳动周教育要求），包括通识教育课程44学分、专业培养课程61学分、专业进阶模块修读24学分、融合创新能力模块7学分。                                                                     </w:t>
      </w:r>
    </w:p>
    <w:p>
      <w:pPr>
        <w:spacing w:after="0"/>
        <w:ind w:left="0"/>
        <w:jc w:val="left"/>
      </w:pPr>
      <w:r>
        <w:rPr>
          <w:rFonts w:ascii="SimSun" w:hAnsi="SimSun"/>
          <w:b w:val="false"/>
          <w:i w:val="false"/>
          <w:color w:val="000000"/>
          <w:sz w:val="21"/>
        </w:rPr>
        <w:t xml:space="preserve">2、  本科荣誉项目：160学分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跨学科发展路径：174学分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在此卓研精英班培养方案基础上补充6学分（课程范围为在对应的普通专业培养方案中所存在的不同的大类基础课、学院平台课、该专业必修课），如达到学士学位要求者授予管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达到博士学位要求者授予管理学博士学位。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2、研究生学段主动退出和博士生资格考核不合格退出本博融通计划的学生，需按照本专业本硕融通培养方案修读课程，如达到硕士学位要求者授予管理学硕士学位。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64000" cy="228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64000" cy="22860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24学分（必修管理学院开设的“数学分析AI”、“数学分析AII”、“数学分析AIII”/“普通物理B”（二选一）、“微观经济学*”、“会计学”和“线性代数I”、“线性代数II””）。课程设置详见大类基础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2选1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要求在本专业进阶课程或荣誉课程中修读至少39学分（其中专业进阶I组修读至少14学分，专业进阶II组修读至少10学分,专业进阶III至少15学分）。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数字化组织前沿研究</w:t>
            </w:r>
            <w:r>
              <w:br/>
            </w:r>
            <w:r>
              <w:br/>
            </w:r>
            <w:r>
              <w:rPr>
                <w:rFonts w:ascii="SimSun" w:hAnsi="SimSun"/>
                <w:b w:val="false"/>
                <w:i w:val="false"/>
                <w:color w:val="000000"/>
                <w:sz w:val="21"/>
              </w:rPr>
              <w:t>Frontier research of digital organization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信息系统经济学理论与方法</w:t>
            </w:r>
            <w:r>
              <w:br/>
            </w:r>
            <w:r>
              <w:br/>
            </w:r>
            <w:r>
              <w:rPr>
                <w:rFonts w:ascii="SimSun" w:hAnsi="SimSun"/>
                <w:b w:val="false"/>
                <w:i w:val="false"/>
                <w:color w:val="000000"/>
                <w:sz w:val="21"/>
              </w:rPr>
              <w:t>Economics of Information Systems: Theory and Methods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至少6学分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凸分析</w:t>
            </w:r>
            <w:r>
              <w:br/>
            </w:r>
            <w:r>
              <w:br/>
            </w:r>
            <w:r>
              <w:rPr>
                <w:rFonts w:ascii="SimSun" w:hAnsi="SimSun"/>
                <w:b w:val="false"/>
                <w:i w:val="false"/>
                <w:color w:val="000000"/>
                <w:sz w:val="21"/>
              </w:rPr>
              <w:t>Convex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w:t>
            </w:r>
            <w:r>
              <w:br/>
            </w:r>
            <w:r>
              <w:br/>
            </w:r>
            <w:r>
              <w:rPr>
                <w:rFonts w:ascii="SimSun" w:hAnsi="SimSun"/>
                <w:b w:val="false"/>
                <w:i w:val="false"/>
                <w:color w:val="000000"/>
                <w:sz w:val="21"/>
              </w:rPr>
              <w:t>Econometrics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The Game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进阶II至少9学分，任选。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进阶III至少修读15学分，其中A组至少修读7学分，B组至少修读2学分，B组至少修读6学分。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组1：最少3门，最低7学分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信息管理理论与方法</w:t>
            </w:r>
            <w:r>
              <w:br/>
            </w:r>
            <w:r>
              <w:br/>
            </w:r>
            <w:r>
              <w:rPr>
                <w:rFonts w:ascii="SimSun" w:hAnsi="SimSun"/>
                <w:b w:val="false"/>
                <w:i w:val="false"/>
                <w:color w:val="000000"/>
                <w:sz w:val="21"/>
              </w:rPr>
              <w:t>The Theories and Methodology in Information Management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决策科学与商业智能</w:t>
            </w:r>
            <w:r>
              <w:br/>
            </w:r>
            <w:r>
              <w:br/>
            </w:r>
            <w:r>
              <w:rPr>
                <w:rFonts w:ascii="SimSun" w:hAnsi="SimSun"/>
                <w:b w:val="false"/>
                <w:i w:val="false"/>
                <w:color w:val="000000"/>
                <w:sz w:val="21"/>
              </w:rPr>
              <w:t>Decision Science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信息技术管理研究专题</w:t>
            </w:r>
            <w:r>
              <w:br/>
            </w:r>
            <w:r>
              <w:br/>
            </w:r>
            <w:r>
              <w:rPr>
                <w:rFonts w:ascii="SimSun" w:hAnsi="SimSun"/>
                <w:b w:val="false"/>
                <w:i w:val="false"/>
                <w:color w:val="000000"/>
                <w:sz w:val="21"/>
              </w:rPr>
              <w:t>Research Topics on Information Technology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数据与算法治理</w:t>
            </w:r>
            <w:r>
              <w:br/>
            </w:r>
            <w:r>
              <w:br/>
            </w:r>
            <w:r>
              <w:rPr>
                <w:rFonts w:ascii="SimSun" w:hAnsi="SimSun"/>
                <w:b w:val="false"/>
                <w:i w:val="false"/>
                <w:color w:val="000000"/>
                <w:sz w:val="21"/>
              </w:rPr>
              <w:t>Data and Algorithm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信息管理实证研究</w:t>
            </w:r>
            <w:r>
              <w:br/>
            </w:r>
            <w:r>
              <w:br/>
            </w:r>
            <w:r>
              <w:rPr>
                <w:rFonts w:ascii="SimSun" w:hAnsi="SimSun"/>
                <w:b w:val="false"/>
                <w:i w:val="false"/>
                <w:color w:val="000000"/>
                <w:sz w:val="21"/>
              </w:rPr>
              <w:t>Economics of Information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组2：最少1门，最低2学分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非线性最优化</w:t>
            </w:r>
            <w:r>
              <w:br/>
            </w:r>
            <w:r>
              <w:br/>
            </w:r>
            <w:r>
              <w:rPr>
                <w:rFonts w:ascii="SimSun" w:hAnsi="SimSun"/>
                <w:b w:val="false"/>
                <w:i w:val="false"/>
                <w:color w:val="000000"/>
                <w:sz w:val="21"/>
              </w:rPr>
              <w:t>Nonlinear Optimization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行为研究方法</w:t>
            </w:r>
            <w:r>
              <w:br/>
            </w:r>
            <w:r>
              <w:br/>
            </w:r>
            <w:r>
              <w:rPr>
                <w:rFonts w:ascii="SimSun" w:hAnsi="SimSun"/>
                <w:b w:val="false"/>
                <w:i w:val="false"/>
                <w:color w:val="000000"/>
                <w:sz w:val="21"/>
              </w:rPr>
              <w:t>Behavioral Research Method</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组3：最少2门，最低6学分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优化与启发式算法</w:t>
            </w:r>
            <w:r>
              <w:br/>
            </w:r>
            <w:r>
              <w:br/>
            </w:r>
            <w:r>
              <w:rPr>
                <w:rFonts w:ascii="SimSun" w:hAnsi="SimSun"/>
                <w:b w:val="false"/>
                <w:i w:val="false"/>
                <w:color w:val="000000"/>
                <w:sz w:val="21"/>
              </w:rPr>
              <w:t>Optimization and Heuristic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动态规划决策与模型</w:t>
            </w:r>
            <w:r>
              <w:br/>
            </w:r>
            <w:r>
              <w:br/>
            </w:r>
            <w:r>
              <w:rPr>
                <w:rFonts w:ascii="SimSun" w:hAnsi="SimSun"/>
                <w:b w:val="false"/>
                <w:i w:val="false"/>
                <w:color w:val="000000"/>
                <w:sz w:val="21"/>
              </w:rPr>
              <w:t>Dynamic Decision Making with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离散事件系统</w:t>
            </w:r>
            <w:r>
              <w:br/>
            </w:r>
            <w:r>
              <w:br/>
            </w:r>
            <w:r>
              <w:rPr>
                <w:rFonts w:ascii="SimSun" w:hAnsi="SimSun"/>
                <w:b w:val="false"/>
                <w:i w:val="false"/>
                <w:color w:val="000000"/>
                <w:sz w:val="21"/>
              </w:rPr>
              <w:t>Discrete-Event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整数规划及应用</w:t>
            </w:r>
            <w:r>
              <w:br/>
            </w:r>
            <w:r>
              <w:br/>
            </w:r>
            <w:r>
              <w:rPr>
                <w:rFonts w:ascii="SimSun" w:hAnsi="SimSun"/>
                <w:b w:val="false"/>
                <w:i w:val="false"/>
                <w:color w:val="000000"/>
                <w:sz w:val="21"/>
              </w:rPr>
              <w:t>Integer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数据驱动决策</w:t>
            </w:r>
            <w:r>
              <w:br/>
            </w:r>
            <w:r>
              <w:br/>
            </w:r>
            <w:r>
              <w:rPr>
                <w:rFonts w:ascii="SimSun" w:hAnsi="SimSun"/>
                <w:b w:val="false"/>
                <w:i w:val="false"/>
                <w:color w:val="000000"/>
                <w:sz w:val="21"/>
              </w:rPr>
              <w:t>Data-driven modeling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学术前沿讲座Ⅰ</w:t>
            </w:r>
            <w:r>
              <w:br/>
            </w:r>
            <w:r>
              <w:br/>
            </w:r>
            <w:r>
              <w:rPr>
                <w:rFonts w:ascii="SimSun" w:hAnsi="SimSun"/>
                <w:b w:val="false"/>
                <w:i w:val="false"/>
                <w:color w:val="000000"/>
                <w:sz w:val="21"/>
              </w:rPr>
              <w:t>Frontiers in Statistics Seminar 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学术前沿讲座Ⅱ</w:t>
            </w:r>
            <w:r>
              <w:br/>
            </w:r>
            <w:r>
              <w:br/>
            </w:r>
            <w:r>
              <w:rPr>
                <w:rFonts w:ascii="SimSun" w:hAnsi="SimSun"/>
                <w:b w:val="false"/>
                <w:i w:val="false"/>
                <w:color w:val="000000"/>
                <w:sz w:val="21"/>
              </w:rPr>
              <w:t>Frontiers in Statistics Seminar Ⅱ</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