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4.png"/>
  <Override ContentType="image/png" PartName="/word/media/document_image_rId5.png"/>
  <Override ContentType="image/png" PartName="/word/media/document_image_rId6.png"/>
  <Override ContentType="image/png" PartName="/word/media/document_image_rId7.png"/>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Types>
</file>

<file path=_rels/.rels><?xml version="1.0" encoding="UTF-8"?>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s>

</file>

<file path=word/document.xml><?xml version="1.0" encoding="utf-8"?>
<w:document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body>
    <w:p>
      <w:pPr>
        <w:spacing w:after="0"/>
        <w:ind w:left="0"/>
        <w:jc w:val="center"/>
      </w:pPr>
      <w:r>
        <w:rPr>
          <w:rFonts w:ascii="SimSun" w:hAnsi="SimSun"/>
          <w:b w:val="false"/>
          <w:i w:val="false"/>
          <w:color w:val="000000"/>
          <w:sz w:val="21"/>
        </w:rPr>
        <w:t xml:space="preserve">
    </w:t>
      </w:r>
      <w:r>
        <w:drawing>
          <wp:inline distT="0" distB="0" distL="0" distR="0">
            <wp:extent cx="2395525" cy="780225"/>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395525" cy="780225"/>
                    </a:xfrm>
                    <a:prstGeom prst="rect">
                      <a:avLst/>
                    </a:prstGeom>
                  </pic:spPr>
                </pic:pic>
              </a:graphicData>
            </a:graphic>
          </wp:inline>
        </w:drawing>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r>
        <w:rPr>
          <w:rFonts w:ascii="SimSun" w:hAnsi="SimSun"/>
          <w:b/>
          <w:i w:val="false"/>
          <w:color w:val="000000"/>
          <w:sz w:val="44"/>
        </w:rPr>
        <w:t>口腔医学院</w:t>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bookmarkStart w:id="0" w:name="print-title"/>
      <w:r>
        <w:rPr>
          <w:rFonts w:ascii="SimSun" w:hAnsi="SimSun"/>
          <w:b/>
          <w:i w:val="false"/>
          <w:color w:val="000000"/>
          <w:sz w:val="44"/>
        </w:rPr>
        <w:t>2025级口腔医学（五年制）专业“2+X+Y”教学培养方案</w:t>
      </w:r>
      <w:bookmarkEnd w:id="0"/>
      <w:r>
        <w:rPr>
          <w:rFonts w:ascii="SimSun" w:hAnsi="SimSun"/>
          <w:b w:val="false"/>
          <w:i w:val="false"/>
          <w:color w:val="000000"/>
          <w:sz w:val="21"/>
        </w:rPr>
        <w:t xml:space="preserve"> 
   </w:t>
      </w:r>
    </w:p>
    <w:p>
      <w:pPr>
        <w:spacing w:after="0"/>
        <w:ind w:left="0"/>
        <w:jc w:val="left"/>
      </w:pPr>
      <w:r>
        <w:rPr>
          <w:rFonts w:ascii="SimSun" w:hAnsi="SimSun"/>
          <w:b/>
          <w:i w:val="false"/>
          <w:color w:val="000000"/>
          <w:sz w:val="24"/>
        </w:rPr>
        <w:t xml:space="preserve">
       一.    学科专业简介
      </w:t>
      </w:r>
    </w:p>
    <w:p>
      <w:pPr>
        <w:spacing w:after="0"/>
        <w:ind w:left="0"/>
        <w:jc w:val="both"/>
      </w:pPr>
      <w:r>
        <w:rPr>
          <w:rFonts w:ascii="SimSun" w:hAnsi="SimSun"/>
          <w:b w:val="false"/>
          <w:i w:val="false"/>
          <w:color w:val="000000"/>
          <w:sz w:val="21"/>
        </w:rPr>
        <w:t xml:space="preserve">       复旦大学发挥和整合附属医院优质口腔医教研防资源优势，依托上海市口腔医院，高起点谋划，高站位对标，建设口腔医学学科和专业，拥有口腔医学硕士和博士专业学位授予点、博士后流动站，国家住院医师规培基地和上海市专科医师培训基地。拥有教育部“长江学者奖励计划”特聘教授、中组部万人计划领军人才、国家“百千万人才工程”国家级人选、国务院政府特殊津贴专家等国家级人才，以及上海市优秀学术带头人、上海市医务工匠等省部级人才。拥有国家自然科学基金创新研究群体负责人，“十三五”、“十四五”国家重点研发计划首席科学家，国家重大科学研究计划“973”课题、国家自然科学基金委重点项目、重点国际（地区）合作研究、国家杰出青年基金等项目负责人学院建有国家临床重点专科、上海市重中之重研究中心、上海市公共卫生重点学科、上海市示范性研究型病房、上海市颅颌面发育与疾病重点实验室及口腔融合创新研究院。成立国际口腔创新研究与教育中心，与苏黎世大学、香港大学、奥塔哥大学等国际知名院校开展深度合作，为卓越口腔医学人才的培养提供优质临床教学资源及研究平台。</w:t>
      </w:r>
    </w:p>
    <w:p>
      <w:pPr>
        <w:spacing w:after="0"/>
        <w:ind w:left="0"/>
        <w:jc w:val="left"/>
      </w:pPr>
      <w:r>
        <w:rPr>
          <w:rFonts w:ascii="SimSun" w:hAnsi="SimSun"/>
          <w:b/>
          <w:i w:val="false"/>
          <w:color w:val="000000"/>
          <w:sz w:val="24"/>
        </w:rPr>
        <w:t xml:space="preserve">
       二.    培养目标
      </w:t>
      </w:r>
    </w:p>
    <w:p>
      <w:pPr>
        <w:spacing w:after="0"/>
        <w:ind w:left="0"/>
        <w:jc w:val="both"/>
      </w:pPr>
      <w:r>
        <w:rPr>
          <w:rFonts w:ascii="SimSun" w:hAnsi="SimSun"/>
          <w:b w:val="false"/>
          <w:i w:val="false"/>
          <w:color w:val="000000"/>
          <w:sz w:val="21"/>
        </w:rPr>
        <w:t xml:space="preserve">  以培养德智体美劳全面发展，具有扎实的理论基础，熟练的专业技能，掌握现代口腔医学科学理论和技术，能从事口腔临床实际工作的应用型高级医学人才为主要目标。本专业学生主要学习口腔临床医学及相关学科的基本理论、基本知识，接受口腔疾病诊断、治疗与预防等方面的基本训练。要求学生比较全面地掌握自然科学和人文社会科学知识，具备良好的思想品德和从事口腔医学工作的崇高职业道德，毕业后能从事口腔临床医疗、教学、科研和预防工作。</w:t>
      </w:r>
    </w:p>
    <w:p>
      <w:pPr>
        <w:spacing w:after="0"/>
        <w:ind w:left="0"/>
        <w:jc w:val="left"/>
      </w:pPr>
      <w:r>
        <w:rPr>
          <w:rFonts w:ascii="SimSun" w:hAnsi="SimSun"/>
          <w:b/>
          <w:i w:val="false"/>
          <w:color w:val="000000"/>
          <w:sz w:val="24"/>
        </w:rPr>
        <w:t xml:space="preserve">
       三.    基本要求
      </w:t>
      </w:r>
    </w:p>
    <w:p>
      <w:pPr>
        <w:spacing w:after="0"/>
        <w:ind w:left="0"/>
        <w:jc w:val="left"/>
      </w:pPr>
      <w:r>
        <w:drawing>
          <wp:inline distT="0" distB="0" distL="0" distR="0">
            <wp:extent cx="5012267" cy="1507067"/>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5012267" cy="1507067"/>
                    </a:xfrm>
                    <a:prstGeom prst="rect">
                      <a:avLst/>
                    </a:prstGeom>
                  </pic:spPr>
                </pic:pic>
              </a:graphicData>
            </a:graphic>
          </wp:inline>
        </w:drawing>
      </w:r>
    </w:p>
    <w:p>
      <w:pPr>
        <w:spacing w:after="0"/>
        <w:ind w:left="0"/>
        <w:jc w:val="left"/>
      </w:pPr>
      <w:r>
        <w:rPr>
          <w:rFonts w:ascii="SimSun" w:hAnsi="SimSun"/>
          <w:b/>
          <w:i w:val="false"/>
          <w:color w:val="000000"/>
          <w:sz w:val="24"/>
        </w:rPr>
        <w:t xml:space="preserve">
       四.    修业要求
      </w:t>
      </w:r>
    </w:p>
    <w:p>
      <w:pPr>
        <w:spacing w:after="0"/>
        <w:ind w:left="0"/>
        <w:jc w:val="left"/>
      </w:pPr>
      <w:r>
        <w:rPr>
          <w:rFonts w:ascii="SimSun" w:hAnsi="SimSun"/>
          <w:b w:val="false"/>
          <w:i w:val="false"/>
          <w:color w:val="000000"/>
          <w:sz w:val="21"/>
        </w:rPr>
        <w:t>1.修业年限：5年（类型：■本科、□本硕、□本博）</w:t>
      </w:r>
    </w:p>
    <w:p>
      <w:pPr>
        <w:spacing w:after="0"/>
        <w:ind w:left="0"/>
        <w:jc w:val="left"/>
      </w:pPr>
      <w:r>
        <w:rPr>
          <w:rFonts w:ascii="SimSun" w:hAnsi="SimSun"/>
          <w:b w:val="false"/>
          <w:i w:val="false"/>
          <w:color w:val="000000"/>
          <w:sz w:val="21"/>
        </w:rPr>
        <w:t>2. 学位授予说明：</w:t>
      </w:r>
    </w:p>
    <w:p>
      <w:pPr>
        <w:spacing w:after="0"/>
        <w:ind w:left="0"/>
        <w:jc w:val="left"/>
      </w:pPr>
      <w:r>
        <w:rPr>
          <w:rFonts w:ascii="SimSun" w:hAnsi="SimSun"/>
          <w:b w:val="false"/>
          <w:i w:val="false"/>
          <w:color w:val="000000"/>
          <w:sz w:val="21"/>
        </w:rPr>
        <w:t xml:space="preserve">    本专业学生毕业时须满足通识教育课程（含通识教育核心课程和专项教育课程）40学分、专业培养课程97.5学分、多元发展路径18.5学分和融合创新能力课程57.5学分的修读要求，总学分不低于213.5学分（含实践/实习87.25学分），通过毕业理论考和毕业操作考，达到学位要求者授予医学学士学位。</w:t>
      </w:r>
    </w:p>
    <w:p>
      <w:pPr>
        <w:spacing w:after="0"/>
        <w:ind w:left="0"/>
        <w:jc w:val="left"/>
      </w:pPr>
      <w:r>
        <w:rPr>
          <w:rFonts w:ascii="SimSun" w:hAnsi="SimSun"/>
          <w:b/>
          <w:i w:val="false"/>
          <w:color w:val="000000"/>
          <w:sz w:val="24"/>
        </w:rPr>
        <w:t xml:space="preserve">
       五.    学分要求
      </w:t>
      </w:r>
    </w:p>
    <w:p>
      <w:pPr>
        <w:spacing w:after="0"/>
        <w:ind w:left="0"/>
        <w:jc w:val="left"/>
      </w:pPr>
      <w:r>
        <w:drawing>
          <wp:inline distT="0" distB="0" distL="0" distR="0">
            <wp:extent cx="4707467" cy="1676400"/>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4707467" cy="1676400"/>
                    </a:xfrm>
                    <a:prstGeom prst="rect">
                      <a:avLst/>
                    </a:prstGeom>
                  </pic:spPr>
                </pic:pic>
              </a:graphicData>
            </a:graphic>
          </wp:inline>
        </w:drawing>
      </w:r>
    </w:p>
    <w:p>
      <w:pPr>
        <w:spacing w:after="0"/>
        <w:ind w:left="0"/>
        <w:jc w:val="left"/>
      </w:pPr>
      <w:r>
        <w:rPr>
          <w:rFonts w:ascii="SimSun" w:hAnsi="SimSun"/>
          <w:b/>
          <w:i w:val="false"/>
          <w:color w:val="000000"/>
          <w:sz w:val="21"/>
        </w:rPr>
        <w:t>1.专业进阶路径：213.5学分</w:t>
      </w:r>
      <w:r>
        <w:br/>
      </w:r>
      <w:r>
        <w:br/>
      </w:r>
      <w:r>
        <w:rPr>
          <w:rFonts w:ascii="SimSun" w:hAnsi="SimSun"/>
          <w:b w:val="false"/>
          <w:i w:val="false"/>
          <w:color w:val="000000"/>
          <w:sz w:val="21"/>
        </w:rPr>
        <w:t xml:space="preserve"> 本路径学生本科期间必须修满教学计划规定的213.5学分，包括通识教育课程40学分、专业培养课程97.5学分、专业进阶路径18.5学分，融合创新能力模块57.5学分的修读。</w:t>
      </w:r>
      <w:r>
        <w:br/>
      </w:r>
      <w:r>
        <w:br/>
      </w:r>
      <w:r>
        <w:rPr>
          <w:rFonts w:ascii="SimSun" w:hAnsi="SimSun"/>
          <w:b/>
          <w:i w:val="false"/>
          <w:color w:val="000000"/>
          <w:sz w:val="21"/>
        </w:rPr>
        <w:t>2.跨学科发展路径：220学分</w:t>
      </w:r>
      <w:r>
        <w:br/>
      </w:r>
      <w:r>
        <w:br/>
      </w:r>
      <w:r>
        <w:rPr>
          <w:rFonts w:ascii="SimSun" w:hAnsi="SimSun"/>
          <w:b w:val="false"/>
          <w:i w:val="false"/>
          <w:color w:val="000000"/>
          <w:sz w:val="21"/>
        </w:rPr>
        <w:t xml:space="preserve"> 本路径学生本科期间必须修满教学计划规定的220学分，包括通识教育课程40学分、专业培养课程97.5学分、非本专业学程25学分、融合创新能力模块57.5学分的修读。</w:t>
      </w:r>
      <w:r>
        <w:br/>
      </w:r>
      <w:r>
        <w:br/>
      </w:r>
      <w:r>
        <w:rPr>
          <w:rFonts w:ascii="SimSun" w:hAnsi="SimSun"/>
          <w:b/>
          <w:i w:val="false"/>
          <w:color w:val="000000"/>
          <w:sz w:val="21"/>
        </w:rPr>
        <w:t>3.辅修学士学位路径：253.5学分</w:t>
      </w:r>
      <w:r>
        <w:br/>
      </w:r>
      <w:r>
        <w:br/>
      </w:r>
      <w:r>
        <w:rPr>
          <w:rFonts w:ascii="SimSun" w:hAnsi="SimSun"/>
          <w:b w:val="false"/>
          <w:i w:val="false"/>
          <w:color w:val="000000"/>
          <w:sz w:val="21"/>
        </w:rPr>
        <w:t xml:space="preserve"> 本路径学生本科期间必须修满教学计划规定的253.5学分，包括通识教育课程40学分、专业培养课程97.5学分、专业进阶模块18.5学分、辅修学士学位项目课程40学分、融合创新能力模块57.5学分。</w:t>
      </w:r>
      <w:r>
        <w:br/>
      </w:r>
      <w:r>
        <w:br/>
      </w:r>
      <w:r>
        <w:rPr>
          <w:rFonts w:ascii="SimSun" w:hAnsi="SimSun"/>
          <w:b/>
          <w:i w:val="false"/>
          <w:color w:val="000000"/>
          <w:sz w:val="21"/>
        </w:rPr>
        <w:t>4.创新创业路径：220学分</w:t>
      </w:r>
      <w:r>
        <w:br/>
      </w:r>
      <w:r>
        <w:br/>
      </w:r>
      <w:r>
        <w:rPr>
          <w:rFonts w:ascii="SimSun" w:hAnsi="SimSun"/>
          <w:b w:val="false"/>
          <w:i w:val="false"/>
          <w:color w:val="000000"/>
          <w:sz w:val="21"/>
        </w:rPr>
        <w:t xml:space="preserve"> 本路径学生本科期间必须修满教学计划规定的220学分，包括通识教育课程40学分、专业培养课程97.5学分、1个创新创业学院开设的创新创业学程和1个非本专业独立开设的专业学程或跨学科学程25学分、融合创新能力模块57.5学分。修读学分不足部分可在全校所有本科生课程中任意选修。</w:t>
      </w:r>
    </w:p>
    <w:p>
      <w:pPr>
        <w:spacing w:after="0"/>
        <w:ind w:left="0"/>
        <w:jc w:val="left"/>
      </w:pPr>
      <w:r>
        <w:rPr>
          <w:rFonts w:ascii="SimSun" w:hAnsi="SimSun"/>
          <w:b/>
          <w:i w:val="false"/>
          <w:color w:val="000000"/>
          <w:sz w:val="24"/>
        </w:rPr>
        <w:t xml:space="preserve">
       六.    学位要求
      </w:t>
      </w:r>
    </w:p>
    <w:p>
      <w:pPr>
        <w:spacing w:after="0"/>
        <w:ind w:left="0"/>
        <w:jc w:val="left"/>
      </w:pPr>
      <w:r>
        <w:rPr>
          <w:rFonts w:ascii="SimSun" w:hAnsi="SimSun"/>
          <w:b w:val="false"/>
          <w:i w:val="false"/>
          <w:color w:val="000000"/>
          <w:sz w:val="21"/>
        </w:rPr>
        <w:t>（一）本科学位</w:t>
      </w:r>
    </w:p>
    <w:p>
      <w:pPr>
        <w:spacing w:after="0"/>
        <w:ind w:left="0"/>
        <w:jc w:val="left"/>
      </w:pPr>
      <w:r>
        <w:rPr>
          <w:rFonts w:ascii="SimSun" w:hAnsi="SimSun"/>
          <w:b w:val="false"/>
          <w:i w:val="false"/>
          <w:color w:val="000000"/>
          <w:sz w:val="21"/>
        </w:rPr>
        <w:t>1. 五年级结束时，如达到学士学位要求者授予医学学士学位。</w:t>
      </w:r>
    </w:p>
    <w:p>
      <w:pPr>
        <w:spacing w:after="0"/>
        <w:ind w:left="0"/>
        <w:jc w:val="left"/>
      </w:pPr>
      <w:r>
        <w:rPr>
          <w:rFonts w:ascii="SimSun" w:hAnsi="SimSun"/>
          <w:b w:val="false"/>
          <w:i w:val="false"/>
          <w:color w:val="000000"/>
          <w:sz w:val="21"/>
        </w:rPr>
        <w:t xml:space="preserve"> （1）修满规定的学分，通过毕业理论考和毕业操作考，达到本科教学培养方案规定的各项要求。</w:t>
      </w:r>
    </w:p>
    <w:p>
      <w:pPr>
        <w:spacing w:after="0"/>
        <w:ind w:left="0"/>
        <w:jc w:val="left"/>
      </w:pPr>
      <w:r>
        <w:rPr>
          <w:rFonts w:ascii="SimSun" w:hAnsi="SimSun"/>
          <w:b w:val="false"/>
          <w:i w:val="false"/>
          <w:color w:val="000000"/>
          <w:sz w:val="21"/>
        </w:rPr>
        <w:t xml:space="preserve"> （2）以符合学生毕业时所在专业教学培养方案规定的所有课程的有效成绩为准计算平均绩点，且此平均绩点大于或等于2.0。</w:t>
      </w:r>
    </w:p>
    <w:p>
      <w:pPr>
        <w:spacing w:after="0"/>
        <w:ind w:left="0"/>
        <w:jc w:val="left"/>
      </w:pPr>
      <w:r>
        <w:rPr>
          <w:rFonts w:ascii="SimSun" w:hAnsi="SimSun"/>
          <w:b/>
          <w:i w:val="false"/>
          <w:color w:val="000000"/>
          <w:sz w:val="24"/>
        </w:rPr>
        <w:t xml:space="preserve">
       七.    课程体系与科研训练体系
      </w:t>
      </w:r>
    </w:p>
    <w:p>
      <w:pPr>
        <w:spacing w:after="0"/>
        <w:ind w:left="0"/>
        <w:jc w:val="left"/>
      </w:pPr>
      <w:r>
        <w:drawing>
          <wp:inline distT="0" distB="0" distL="0" distR="0">
            <wp:extent cx="5486400" cy="12192000"/>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5486400" cy="12192000"/>
                    </a:xfrm>
                    <a:prstGeom prst="rect">
                      <a:avLst/>
                    </a:prstGeom>
                  </pic:spPr>
                </pic:pic>
              </a:graphicData>
            </a:graphic>
          </wp:inline>
        </w:drawing>
      </w:r>
    </w:p>
    <w:p>
      <w:pPr>
        <w:spacing w:after="0"/>
        <w:ind w:left="0"/>
        <w:jc w:val="left"/>
      </w:pPr>
      <w:r>
        <w:rPr>
          <w:rFonts w:ascii="SimSun" w:hAnsi="SimSun"/>
          <w:b/>
          <w:i w:val="false"/>
          <w:color w:val="000000"/>
          <w:sz w:val="21"/>
        </w:rPr>
        <w:t>1.课程体系</w:t>
      </w:r>
    </w:p>
    <w:p>
      <w:pPr>
        <w:spacing w:after="0"/>
        <w:ind w:left="0"/>
        <w:jc w:val="left"/>
      </w:pPr>
      <w:r>
        <w:rPr>
          <w:rFonts w:ascii="SimSun" w:hAnsi="SimSun"/>
          <w:b w:val="false"/>
          <w:i w:val="false"/>
          <w:color w:val="000000"/>
          <w:sz w:val="21"/>
        </w:rPr>
        <w:t xml:space="preserve">   课程体系由通识教育、大类基础课、专业核心课（包括医学基础课、口腔专业课）、进阶课程、融合创新课程模块构成，遵循“通识教育-学科基础-专业核心-研究创新”的体系设计理念，夯实专业基础，通专融合，渐次递进建立专业教育体系。进阶课程适用于不同年级学生拓展学习，介绍学科内涵和前沿，交叉应用，引导学生在实践中学习和解决问题，由感性认识深入理性认知，加深对复杂高阶的临床问题的理解并尝试解决。</w:t>
      </w:r>
    </w:p>
    <w:p>
      <w:pPr>
        <w:spacing w:after="0"/>
        <w:ind w:left="0"/>
        <w:jc w:val="left"/>
      </w:pPr>
      <w:r>
        <w:rPr>
          <w:rFonts w:ascii="SimSun" w:hAnsi="SimSun"/>
          <w:b/>
          <w:i w:val="false"/>
          <w:color w:val="000000"/>
          <w:sz w:val="21"/>
        </w:rPr>
        <w:t>2.融合创新培养</w:t>
      </w:r>
    </w:p>
    <w:p>
      <w:pPr>
        <w:spacing w:after="0"/>
        <w:ind w:left="0"/>
        <w:jc w:val="left"/>
      </w:pPr>
      <w:r>
        <w:rPr>
          <w:rFonts w:ascii="SimSun" w:hAnsi="SimSun"/>
          <w:b w:val="false"/>
          <w:i w:val="false"/>
          <w:color w:val="000000"/>
          <w:sz w:val="21"/>
        </w:rPr>
        <w:t xml:space="preserve">   建立临床-学术双螺旋递进的全周期科研训练体系，夯实临床技能；鼓励师生共创，通过大创项目等学生科创活动引导学生由临床实践出发，提出科学问题，开展科研活动。</w:t>
      </w:r>
    </w:p>
    <w:p>
      <w:pPr>
        <w:spacing w:after="0"/>
        <w:ind w:left="0"/>
        <w:jc w:val="left"/>
      </w:pPr>
      <w:r>
        <w:rPr>
          <w:rFonts w:ascii="SimSun" w:hAnsi="SimSun"/>
          <w:b/>
          <w:i w:val="false"/>
          <w:color w:val="000000"/>
          <w:sz w:val="24"/>
        </w:rPr>
        <w:t xml:space="preserve">
       八.    课程设置与修读要求
      </w:t>
      </w:r>
    </w:p>
    <w:p>
      <w:pPr>
        <w:spacing w:after="0"/>
        <w:ind w:left="0"/>
        <w:jc w:val="left"/>
      </w:pPr>
    </w:p>
    <w:p>
      <w:pPr>
        <w:spacing w:after="0"/>
        <w:ind w:left="0"/>
        <w:jc w:val="left"/>
      </w:pPr>
      <w:r>
        <w:rPr>
          <w:rFonts w:ascii="SimSun" w:hAnsi="SimSun"/>
          <w:b/>
          <w:i w:val="false"/>
          <w:color w:val="000000"/>
          <w:sz w:val="21"/>
        </w:rPr>
        <w:t xml:space="preserve">
       </w:t>
      </w:r>
      <w:r>
        <w:rPr>
          <w:rFonts w:ascii="SimSun" w:hAnsi="SimSun"/>
          <w:b/>
          <w:i w:val="false"/>
          <w:color w:val="000000"/>
          <w:sz w:val="21"/>
        </w:rPr>
        <w:t>(一) 通识教育课程</w:t>
      </w:r>
      <w:r>
        <w:rPr>
          <w:rFonts w:ascii="SimSun" w:hAnsi="SimSun"/>
          <w:b/>
          <w:i w:val="false"/>
          <w:color w:val="000000"/>
          <w:sz w:val="21"/>
        </w:rPr>
        <w:t>（40学分）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通识教育课程包括通识教育核心课程和专项教育课程。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1.  通识教育核心课程</w:t>
      </w:r>
      <w:r>
        <w:rPr>
          <w:rFonts w:ascii="SimSun" w:hAnsi="SimSun"/>
          <w:b/>
          <w:i w:val="false"/>
          <w:color w:val="000000"/>
          <w:sz w:val="21"/>
        </w:rPr>
        <w:t>（26学分）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要求修读26学分，含思想政治理论课19学分，七大模块课程6学分（美育学分不少于2学分），大学生国家安全教育1学分。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(1) 思想政治理论课模块</w:t>
      </w:r>
      <w:r>
        <w:rPr>
          <w:rFonts w:ascii="SimSun" w:hAnsi="SimSun"/>
          <w:b/>
          <w:i w:val="false"/>
          <w:color w:val="000000"/>
          <w:sz w:val="21"/>
        </w:rPr>
        <w:t>（19学分）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a) 思政A</w:t>
      </w:r>
      <w:r>
        <w:rPr>
          <w:rFonts w:ascii="SimSun" w:hAnsi="SimSun"/>
          <w:b/>
          <w:i w:val="false"/>
          <w:color w:val="000000"/>
          <w:sz w:val="21"/>
        </w:rPr>
        <w:t>（17学分）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27"/>
        <w:gridCol w:w="806"/>
        <w:gridCol w:w="806"/>
        <w:gridCol w:w="1129"/>
        <w:gridCol w:w="1696"/>
        <w:gridCol w:w="806"/>
        <w:gridCol w:w="806"/>
        <w:gridCol w:w="806"/>
        <w:gridCol w:w="806"/>
        <w:gridCol w:w="1130"/>
        <w:gridCol w:w="1616"/>
      </w:tblGrid>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中国近现代史纲要</w:t>
            </w:r>
            <w:r>
              <w:br/>
            </w:r>
            <w:r>
              <w:br/>
            </w:r>
            <w:r>
              <w:rPr>
                <w:rFonts w:ascii="SimSun" w:hAnsi="SimSun"/>
                <w:b w:val="false"/>
                <w:i w:val="false"/>
                <w:color w:val="000000"/>
                <w:sz w:val="21"/>
              </w:rPr>
              <w:t>Conspectus of Chinese Modern History</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GEIP20006</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春,暑期,秋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马克思主义基本原理</w:t>
            </w:r>
            <w:r>
              <w:br/>
            </w:r>
            <w:r>
              <w:br/>
            </w:r>
            <w:r>
              <w:rPr>
                <w:rFonts w:ascii="SimSun" w:hAnsi="SimSun"/>
                <w:b w:val="false"/>
                <w:i w:val="false"/>
                <w:color w:val="000000"/>
                <w:sz w:val="21"/>
              </w:rPr>
              <w:t>The Basic Principles of Marxism</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GEIP40012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春,暑期,秋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思想道德与法治</w:t>
            </w:r>
            <w:r>
              <w:br/>
            </w:r>
            <w:r>
              <w:br/>
            </w:r>
            <w:r>
              <w:rPr>
                <w:rFonts w:ascii="SimSun" w:hAnsi="SimSun"/>
                <w:b w:val="false"/>
                <w:i w:val="false"/>
                <w:color w:val="000000"/>
                <w:sz w:val="21"/>
              </w:rPr>
              <w:t>Ideology, Morality and the Rule of Law</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GEIP20007</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春,暑期,秋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毛泽东思想和中国特色社会主义理论体系概论</w:t>
            </w:r>
            <w:r>
              <w:br/>
            </w:r>
            <w:r>
              <w:br/>
            </w:r>
            <w:r>
              <w:rPr>
                <w:rFonts w:ascii="SimSun" w:hAnsi="SimSun"/>
                <w:b w:val="false"/>
                <w:i w:val="false"/>
                <w:color w:val="000000"/>
                <w:sz w:val="21"/>
              </w:rPr>
              <w:t>An Introduction to MaoZedong Thought and the Theoretical System of Socialism with Chinese Character</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GEIP30001</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春,暑期,秋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习近平新时代中国特色社会主义思想概论</w:t>
            </w:r>
            <w:r>
              <w:br/>
            </w:r>
            <w:r>
              <w:br/>
            </w:r>
            <w:r>
              <w:rPr>
                <w:rFonts w:ascii="SimSun" w:hAnsi="SimSun"/>
                <w:b w:val="false"/>
                <w:i w:val="false"/>
                <w:color w:val="000000"/>
                <w:sz w:val="21"/>
              </w:rPr>
              <w:t>Introduction to Xi Jinping Thought on Socialism with Chinese Characteristics for a New Era</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GEIP30002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强国之路：形势、政策与使命Ⅰ</w:t>
            </w:r>
            <w:r>
              <w:br/>
            </w:r>
            <w:r>
              <w:br/>
            </w:r>
            <w:r>
              <w:rPr>
                <w:rFonts w:ascii="SimSun" w:hAnsi="SimSun"/>
                <w:b w:val="false"/>
                <w:i w:val="false"/>
                <w:color w:val="000000"/>
                <w:sz w:val="21"/>
              </w:rPr>
              <w:t>The Path of Building a Powerful Country: Situation Policy and Mission Ⅰ</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GESP10003</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强国之路：形势、政策与使命Ⅱ</w:t>
            </w:r>
            <w:r>
              <w:br/>
            </w:r>
            <w:r>
              <w:br/>
            </w:r>
            <w:r>
              <w:rPr>
                <w:rFonts w:ascii="SimSun" w:hAnsi="SimSun"/>
                <w:b w:val="false"/>
                <w:i w:val="false"/>
                <w:color w:val="000000"/>
                <w:sz w:val="21"/>
              </w:rPr>
              <w:t>The Path of Building a Powerful Country: Situation Policy and Mission Ⅱ</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GESP10004</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强国之路：形势、政策与使命Ⅲ</w:t>
            </w:r>
            <w:r>
              <w:br/>
            </w:r>
            <w:r>
              <w:br/>
            </w:r>
            <w:r>
              <w:rPr>
                <w:rFonts w:ascii="SimSun" w:hAnsi="SimSun"/>
                <w:b w:val="false"/>
                <w:i w:val="false"/>
                <w:color w:val="000000"/>
                <w:sz w:val="21"/>
              </w:rPr>
              <w:t>The Path of Building a Powerful Country: Situation Policy and Mission Ⅲ</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GESP20003</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强国之路：形势、政策与使命Ⅳ</w:t>
            </w:r>
            <w:r>
              <w:br/>
            </w:r>
            <w:r>
              <w:br/>
            </w:r>
            <w:r>
              <w:rPr>
                <w:rFonts w:ascii="SimSun" w:hAnsi="SimSun"/>
                <w:b w:val="false"/>
                <w:i w:val="false"/>
                <w:color w:val="000000"/>
                <w:sz w:val="21"/>
              </w:rPr>
              <w:t>The Path of Building a Powerful Country: Situation Policy and Mission Ⅳ</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16</w:t>
            </w:r>
          </w:p>
        </w:tc>
        <w:tc>
          <w:tcPr>
            <w:tcW w:w="112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9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GESP20004</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b) 思政B</w:t>
      </w:r>
      <w:r>
        <w:rPr>
          <w:rFonts w:ascii="SimSun" w:hAnsi="SimSun"/>
          <w:b/>
          <w:i w:val="false"/>
          <w:color w:val="000000"/>
          <w:sz w:val="21"/>
        </w:rPr>
        <w:t>（2学分）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2"/>
        <w:gridCol w:w="810"/>
        <w:gridCol w:w="810"/>
        <w:gridCol w:w="1134"/>
        <w:gridCol w:w="1641"/>
        <w:gridCol w:w="810"/>
        <w:gridCol w:w="810"/>
        <w:gridCol w:w="810"/>
        <w:gridCol w:w="810"/>
        <w:gridCol w:w="1135"/>
        <w:gridCol w:w="1622"/>
      </w:tblGrid>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中国共产党历史</w:t>
            </w:r>
            <w:r>
              <w:br/>
            </w:r>
            <w:r>
              <w:br/>
            </w:r>
            <w:r>
              <w:rPr>
                <w:rFonts w:ascii="SimSun" w:hAnsi="SimSun"/>
                <w:b w:val="false"/>
                <w:i w:val="false"/>
                <w:color w:val="000000"/>
                <w:sz w:val="21"/>
              </w:rPr>
              <w:t>The History of the Communist Party of China</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GEIP20002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新中国史</w:t>
            </w:r>
            <w:r>
              <w:br/>
            </w:r>
            <w:r>
              <w:br/>
            </w:r>
            <w:r>
              <w:rPr>
                <w:rFonts w:ascii="SimSun" w:hAnsi="SimSun"/>
                <w:b w:val="false"/>
                <w:i w:val="false"/>
                <w:color w:val="000000"/>
                <w:sz w:val="21"/>
              </w:rPr>
              <w:t>The History of The People's Republic of China</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GEIP20003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改革开放史</w:t>
            </w:r>
            <w:r>
              <w:br/>
            </w:r>
            <w:r>
              <w:br/>
            </w:r>
            <w:r>
              <w:rPr>
                <w:rFonts w:ascii="SimSun" w:hAnsi="SimSun"/>
                <w:b w:val="false"/>
                <w:i w:val="false"/>
                <w:color w:val="000000"/>
                <w:sz w:val="21"/>
              </w:rPr>
              <w:t>The History of Reform And Open Up</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GEIP20004</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社会主义发展史</w:t>
            </w:r>
            <w:r>
              <w:br/>
            </w:r>
            <w:r>
              <w:br/>
            </w:r>
            <w:r>
              <w:rPr>
                <w:rFonts w:ascii="SimSun" w:hAnsi="SimSun"/>
                <w:b w:val="false"/>
                <w:i w:val="false"/>
                <w:color w:val="000000"/>
                <w:sz w:val="21"/>
              </w:rPr>
              <w:t>The History of the Development of Socialism</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GEIP20005</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核心课程七大模块</w:t>
      </w:r>
      <w:r>
        <w:rPr>
          <w:rFonts w:ascii="SimSun" w:hAnsi="SimSun"/>
          <w:b/>
          <w:i w:val="false"/>
          <w:color w:val="000000"/>
          <w:sz w:val="21"/>
        </w:rPr>
        <w:t>（6学分）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(3) 国家安全教育</w:t>
      </w:r>
      <w:r>
        <w:rPr>
          <w:rFonts w:ascii="SimSun" w:hAnsi="SimSun"/>
          <w:b/>
          <w:i w:val="false"/>
          <w:color w:val="000000"/>
          <w:sz w:val="21"/>
        </w:rPr>
        <w:t>（1学分）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2.  通识教育专项教育课程</w:t>
      </w:r>
      <w:r>
        <w:rPr>
          <w:rFonts w:ascii="SimSun" w:hAnsi="SimSun"/>
          <w:b/>
          <w:i w:val="false"/>
          <w:color w:val="000000"/>
          <w:sz w:val="21"/>
        </w:rPr>
        <w:t>（14学分）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要求至少修读14学分，英语分级考试B、Y级学生修读16学分。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(1) 大学外语</w:t>
      </w:r>
      <w:r>
        <w:rPr>
          <w:rFonts w:ascii="SimSun" w:hAnsi="SimSun"/>
          <w:b/>
          <w:i w:val="false"/>
          <w:color w:val="000000"/>
          <w:sz w:val="21"/>
        </w:rPr>
        <w:t>（4学分）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新生英语分级考试A级学生至少修读2学分，且必须是“大学英语高阶课程”或“第二外语课程”。
       </w:t>
      </w:r>
      <w:r>
        <w:br/>
      </w:r>
      <w:r>
        <w:rPr>
          <w:rFonts w:ascii="SimSun" w:hAnsi="SimSun"/>
          <w:b w:val="false"/>
          <w:i w:val="false"/>
          <w:color w:val="000000"/>
          <w:sz w:val="21"/>
        </w:rPr>
        <w:t xml:space="preserve">
       </w:t>
      </w:r>
      <w:r>
        <w:br/>
      </w:r>
      <w:r>
        <w:rPr>
          <w:rFonts w:ascii="SimSun" w:hAnsi="SimSun"/>
          <w:b w:val="false"/>
          <w:i w:val="false"/>
          <w:color w:val="000000"/>
          <w:sz w:val="21"/>
        </w:rPr>
        <w:t xml:space="preserve">新生英语分级考试B级学生至少修读4学分，包括2学分的“大学英语进阶课程”和2学分的“大学英语高阶课程”。
       </w:t>
      </w:r>
      <w:r>
        <w:br/>
      </w:r>
      <w:r>
        <w:rPr>
          <w:rFonts w:ascii="SimSun" w:hAnsi="SimSun"/>
          <w:b w:val="false"/>
          <w:i w:val="false"/>
          <w:color w:val="000000"/>
          <w:sz w:val="21"/>
        </w:rPr>
        <w:t xml:space="preserve">
       </w:t>
      </w:r>
      <w:r>
        <w:br/>
      </w:r>
      <w:r>
        <w:rPr>
          <w:rFonts w:ascii="SimSun" w:hAnsi="SimSun"/>
          <w:b w:val="false"/>
          <w:i w:val="false"/>
          <w:color w:val="000000"/>
          <w:sz w:val="21"/>
        </w:rPr>
        <w:t xml:space="preserve">新生英语分级考试Y级学生至少修读4学分，包括2学分的“大学英语基础课程”和2学分的“大学英语进阶课程”。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(2) 人工智能教学专项</w:t>
      </w:r>
      <w:r>
        <w:rPr>
          <w:rFonts w:ascii="SimSun" w:hAnsi="SimSun"/>
          <w:b/>
          <w:i w:val="false"/>
          <w:color w:val="000000"/>
          <w:sz w:val="21"/>
        </w:rPr>
        <w:t>（3学分）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(3) 体育课程</w:t>
      </w:r>
      <w:r>
        <w:rPr>
          <w:rFonts w:ascii="SimSun" w:hAnsi="SimSun"/>
          <w:b/>
          <w:i w:val="false"/>
          <w:color w:val="000000"/>
          <w:sz w:val="21"/>
        </w:rPr>
        <w:t>（4学分）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(4) 军事课程</w:t>
      </w:r>
      <w:r>
        <w:rPr>
          <w:rFonts w:ascii="SimSun" w:hAnsi="SimSun"/>
          <w:b/>
          <w:i w:val="false"/>
          <w:color w:val="000000"/>
          <w:sz w:val="21"/>
        </w:rPr>
        <w:t>（4学分）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(5) 创新创意创业</w:t>
      </w:r>
      <w:r>
        <w:rPr>
          <w:rFonts w:ascii="SimSun" w:hAnsi="SimSun"/>
          <w:b/>
          <w:i w:val="false"/>
          <w:color w:val="000000"/>
          <w:sz w:val="21"/>
        </w:rPr>
        <w:t>（0学分）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(6) 心理健康教育课程</w:t>
      </w:r>
      <w:r>
        <w:rPr>
          <w:rFonts w:ascii="SimSun" w:hAnsi="SimSun"/>
          <w:b/>
          <w:i w:val="false"/>
          <w:color w:val="000000"/>
          <w:sz w:val="21"/>
        </w:rPr>
        <w:t>（1学分）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(7) 实验室安全教育</w:t>
      </w:r>
      <w:r>
        <w:rPr>
          <w:rFonts w:ascii="SimSun" w:hAnsi="SimSun"/>
          <w:b/>
          <w:i w:val="false"/>
          <w:color w:val="000000"/>
          <w:sz w:val="21"/>
        </w:rPr>
        <w:t>（0学分）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(二) 专业培养课程</w:t>
      </w:r>
      <w:r>
        <w:rPr>
          <w:rFonts w:ascii="SimSun" w:hAnsi="SimSun"/>
          <w:b/>
          <w:i w:val="false"/>
          <w:color w:val="000000"/>
          <w:sz w:val="21"/>
        </w:rPr>
        <w:t>（97.5学分,本科要求97.5学分）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专业培养课程包括大类基础课程和专业核心教育课程。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1.  学科基础课程</w:t>
      </w:r>
      <w:r>
        <w:rPr>
          <w:rFonts w:ascii="SimSun" w:hAnsi="SimSun"/>
          <w:b/>
          <w:i w:val="false"/>
          <w:color w:val="000000"/>
          <w:sz w:val="21"/>
        </w:rPr>
        <w:t>（18学分,本科要求18学分）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194"/>
        <w:gridCol w:w="798"/>
        <w:gridCol w:w="798"/>
        <w:gridCol w:w="1117"/>
        <w:gridCol w:w="1819"/>
        <w:gridCol w:w="798"/>
        <w:gridCol w:w="798"/>
        <w:gridCol w:w="798"/>
        <w:gridCol w:w="798"/>
        <w:gridCol w:w="1118"/>
        <w:gridCol w:w="1598"/>
      </w:tblGrid>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高等数学C I</w:t>
            </w:r>
            <w:r>
              <w:br/>
            </w:r>
            <w:r>
              <w:br/>
            </w:r>
            <w:r>
              <w:rPr>
                <w:rFonts w:ascii="SimSun" w:hAnsi="SimSun"/>
                <w:b w:val="false"/>
                <w:i w:val="false"/>
                <w:color w:val="000000"/>
                <w:sz w:val="21"/>
              </w:rPr>
              <w:t>Advanced Mathematics C 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MATH10018</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普通物理B</w:t>
            </w:r>
            <w:r>
              <w:br/>
            </w:r>
            <w:r>
              <w:br/>
            </w:r>
            <w:r>
              <w:rPr>
                <w:rFonts w:ascii="SimSun" w:hAnsi="SimSun"/>
                <w:b w:val="false"/>
                <w:i w:val="false"/>
                <w:color w:val="000000"/>
                <w:sz w:val="21"/>
              </w:rPr>
              <w:t>General Physics B</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PHYS10002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基础物理实验</w:t>
            </w:r>
            <w:r>
              <w:br/>
            </w:r>
            <w:r>
              <w:br/>
            </w:r>
            <w:r>
              <w:rPr>
                <w:rFonts w:ascii="SimSun" w:hAnsi="SimSun"/>
                <w:b w:val="false"/>
                <w:i w:val="false"/>
                <w:color w:val="000000"/>
                <w:sz w:val="21"/>
              </w:rPr>
              <w:t>Fundamental Physics Experiments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PHYS10005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普通化学C</w:t>
            </w:r>
            <w:r>
              <w:br/>
            </w:r>
            <w:r>
              <w:br/>
            </w:r>
            <w:r>
              <w:rPr>
                <w:rFonts w:ascii="SimSun" w:hAnsi="SimSun"/>
                <w:b w:val="false"/>
                <w:i w:val="false"/>
                <w:color w:val="000000"/>
                <w:sz w:val="21"/>
              </w:rPr>
              <w:t>General Chemistry C</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CHEM10008</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普通化学实验I</w:t>
            </w:r>
            <w:r>
              <w:br/>
            </w:r>
            <w:r>
              <w:br/>
            </w:r>
            <w:r>
              <w:rPr>
                <w:rFonts w:ascii="SimSun" w:hAnsi="SimSun"/>
                <w:b w:val="false"/>
                <w:i w:val="false"/>
                <w:color w:val="000000"/>
                <w:sz w:val="21"/>
              </w:rPr>
              <w:t>Experiments in General Chemistry 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CHEM10005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有机化学C</w:t>
            </w:r>
            <w:r>
              <w:br/>
            </w:r>
            <w:r>
              <w:br/>
            </w:r>
            <w:r>
              <w:rPr>
                <w:rFonts w:ascii="SimSun" w:hAnsi="SimSun"/>
                <w:b w:val="false"/>
                <w:i w:val="false"/>
                <w:color w:val="000000"/>
                <w:sz w:val="21"/>
              </w:rPr>
              <w:t>Organic Chemistry C</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CHEM10007</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有机化学实验I</w:t>
            </w:r>
            <w:r>
              <w:br/>
            </w:r>
            <w:r>
              <w:br/>
            </w:r>
            <w:r>
              <w:rPr>
                <w:rFonts w:ascii="SimSun" w:hAnsi="SimSun"/>
                <w:b w:val="false"/>
                <w:i w:val="false"/>
                <w:color w:val="000000"/>
                <w:sz w:val="21"/>
              </w:rPr>
              <w:t>Experiments in Organic Chemistry I</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1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CHEM10006</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专业核心教育课程</w:t>
      </w:r>
      <w:r>
        <w:rPr>
          <w:rFonts w:ascii="SimSun" w:hAnsi="SimSun"/>
          <w:b/>
          <w:i w:val="false"/>
          <w:color w:val="000000"/>
          <w:sz w:val="21"/>
        </w:rPr>
        <w:t>（79.5学分,本科要求79.5学分）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要求修读79.5学分
      </w:t>
      </w:r>
    </w:p>
    <w:tbl>
      <w:tblPr>
        <w:tblW w:w="0" w:type="auto"/>
        <w:tblCellSpacing w:w="0" w:type="auto"/>
        <w:tblBorders>
          <w:top w:val="none"/>
          <w:left w:val="none"/>
          <w:bottom w:val="none"/>
          <w:right w:val="none"/>
          <w:insideH w:val="none"/>
          <w:insideV w:val="none"/>
        </w:tblBorders>
      </w:tblPr>
      <w:tblGrid>
        <w:gridCol w:w="3205"/>
        <w:gridCol w:w="800"/>
        <w:gridCol w:w="800"/>
        <w:gridCol w:w="1122"/>
        <w:gridCol w:w="1778"/>
        <w:gridCol w:w="801"/>
        <w:gridCol w:w="801"/>
        <w:gridCol w:w="801"/>
        <w:gridCol w:w="801"/>
        <w:gridCol w:w="1122"/>
        <w:gridCol w:w="1603"/>
      </w:tblGrid>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人体分子与细胞</w:t>
            </w:r>
            <w:r>
              <w:br/>
            </w:r>
            <w:r>
              <w:br/>
            </w:r>
            <w:r>
              <w:rPr>
                <w:rFonts w:ascii="SimSun" w:hAnsi="SimSun"/>
                <w:b w:val="false"/>
                <w:i w:val="false"/>
                <w:color w:val="000000"/>
                <w:sz w:val="21"/>
              </w:rPr>
              <w:t>Human molecules and cells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4.5</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MED20093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组织胚胎学</w:t>
            </w:r>
            <w:r>
              <w:br/>
            </w:r>
            <w:r>
              <w:br/>
            </w:r>
            <w:r>
              <w:rPr>
                <w:rFonts w:ascii="SimSun" w:hAnsi="SimSun"/>
                <w:b w:val="false"/>
                <w:i w:val="false"/>
                <w:color w:val="000000"/>
                <w:sz w:val="21"/>
              </w:rPr>
              <w:t>Foundations endocrine and reproductive system</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MED20067</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人体解剖学</w:t>
            </w:r>
            <w:r>
              <w:br/>
            </w:r>
            <w:r>
              <w:br/>
            </w:r>
            <w:r>
              <w:rPr>
                <w:rFonts w:ascii="SimSun" w:hAnsi="SimSun"/>
                <w:b w:val="false"/>
                <w:i w:val="false"/>
                <w:color w:val="000000"/>
                <w:sz w:val="21"/>
              </w:rPr>
              <w:t>Human anatomy</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70</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MED20070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医学微生物学C</w:t>
            </w:r>
            <w:r>
              <w:br/>
            </w:r>
            <w:r>
              <w:br/>
            </w:r>
            <w:r>
              <w:rPr>
                <w:rFonts w:ascii="SimSun" w:hAnsi="SimSun"/>
                <w:b w:val="false"/>
                <w:i w:val="false"/>
                <w:color w:val="000000"/>
                <w:sz w:val="21"/>
              </w:rPr>
              <w:t>Medical Microbiology C</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MED20086</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免疫学B</w:t>
            </w:r>
            <w:r>
              <w:br/>
            </w:r>
            <w:r>
              <w:br/>
            </w:r>
            <w:r>
              <w:rPr>
                <w:rFonts w:ascii="SimSun" w:hAnsi="SimSun"/>
                <w:b w:val="false"/>
                <w:i w:val="false"/>
                <w:color w:val="000000"/>
                <w:sz w:val="21"/>
              </w:rPr>
              <w:t>Medical Immunology B</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63</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MED20013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病理生理学C</w:t>
            </w:r>
            <w:r>
              <w:br/>
            </w:r>
            <w:r>
              <w:br/>
            </w:r>
            <w:r>
              <w:rPr>
                <w:rFonts w:ascii="SimSun" w:hAnsi="SimSun"/>
                <w:b w:val="false"/>
                <w:i w:val="false"/>
                <w:color w:val="000000"/>
                <w:sz w:val="21"/>
              </w:rPr>
              <w:t>Pathophysiology C</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MED20068</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病理学</w:t>
            </w:r>
            <w:r>
              <w:br/>
            </w:r>
            <w:r>
              <w:br/>
            </w:r>
            <w:r>
              <w:rPr>
                <w:rFonts w:ascii="SimSun" w:hAnsi="SimSun"/>
                <w:b w:val="false"/>
                <w:i w:val="false"/>
                <w:color w:val="000000"/>
                <w:sz w:val="21"/>
              </w:rPr>
              <w:t>Pathology</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3.5</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MED20069</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生理学</w:t>
            </w:r>
            <w:r>
              <w:br/>
            </w:r>
            <w:r>
              <w:br/>
            </w:r>
            <w:r>
              <w:rPr>
                <w:rFonts w:ascii="SimSun" w:hAnsi="SimSun"/>
                <w:b w:val="false"/>
                <w:i w:val="false"/>
                <w:color w:val="000000"/>
                <w:sz w:val="21"/>
              </w:rPr>
              <w:t>Physiology</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MED20071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药理学</w:t>
            </w:r>
            <w:r>
              <w:br/>
            </w:r>
            <w:r>
              <w:br/>
            </w:r>
            <w:r>
              <w:rPr>
                <w:rFonts w:ascii="SimSun" w:hAnsi="SimSun"/>
                <w:b w:val="false"/>
                <w:i w:val="false"/>
                <w:color w:val="000000"/>
                <w:sz w:val="21"/>
              </w:rPr>
              <w:t>Pharmacology</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MED20073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预防医学</w:t>
            </w:r>
            <w:r>
              <w:br/>
            </w:r>
            <w:r>
              <w:br/>
            </w:r>
            <w:r>
              <w:rPr>
                <w:rFonts w:ascii="SimSun" w:hAnsi="SimSun"/>
                <w:b w:val="false"/>
                <w:i w:val="false"/>
                <w:color w:val="000000"/>
                <w:sz w:val="21"/>
              </w:rPr>
              <w:t>Preventive Medicine</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PHPM30021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内科学</w:t>
            </w:r>
            <w:r>
              <w:br/>
            </w:r>
            <w:r>
              <w:br/>
            </w:r>
            <w:r>
              <w:rPr>
                <w:rFonts w:ascii="SimSun" w:hAnsi="SimSun"/>
                <w:b w:val="false"/>
                <w:i w:val="false"/>
                <w:color w:val="000000"/>
                <w:sz w:val="21"/>
              </w:rPr>
              <w:t>Internal Medicine</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80</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MED30088</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外科学C</w:t>
            </w:r>
            <w:r>
              <w:br/>
            </w:r>
            <w:r>
              <w:br/>
            </w:r>
            <w:r>
              <w:rPr>
                <w:rFonts w:ascii="SimSun" w:hAnsi="SimSun"/>
                <w:b w:val="false"/>
                <w:i w:val="false"/>
                <w:color w:val="000000"/>
                <w:sz w:val="21"/>
              </w:rPr>
              <w:t>Surgery C</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64</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MED30022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卫生法</w:t>
            </w:r>
            <w:r>
              <w:br/>
            </w:r>
            <w:r>
              <w:br/>
            </w:r>
            <w:r>
              <w:rPr>
                <w:rFonts w:ascii="SimSun" w:hAnsi="SimSun"/>
                <w:b w:val="false"/>
                <w:i w:val="false"/>
                <w:color w:val="000000"/>
                <w:sz w:val="21"/>
              </w:rPr>
              <w:t>Health Law</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PHPM20011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医学伦理学</w:t>
            </w:r>
            <w:r>
              <w:br/>
            </w:r>
            <w:r>
              <w:br/>
            </w:r>
            <w:r>
              <w:rPr>
                <w:rFonts w:ascii="SimSun" w:hAnsi="SimSun"/>
                <w:b w:val="false"/>
                <w:i w:val="false"/>
                <w:color w:val="000000"/>
                <w:sz w:val="21"/>
              </w:rPr>
              <w:t>Medical Ethics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MED30046</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医学心理学</w:t>
            </w:r>
            <w:r>
              <w:br/>
            </w:r>
            <w:r>
              <w:br/>
            </w:r>
            <w:r>
              <w:rPr>
                <w:rFonts w:ascii="SimSun" w:hAnsi="SimSun"/>
                <w:b w:val="false"/>
                <w:i w:val="false"/>
                <w:color w:val="000000"/>
                <w:sz w:val="21"/>
              </w:rPr>
              <w:t>Medical Psychology</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MED30106</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卫生统计学A</w:t>
            </w:r>
            <w:r>
              <w:br/>
            </w:r>
            <w:r>
              <w:br/>
            </w:r>
            <w:r>
              <w:rPr>
                <w:rFonts w:ascii="SimSun" w:hAnsi="SimSun"/>
                <w:b w:val="false"/>
                <w:i w:val="false"/>
                <w:color w:val="000000"/>
                <w:sz w:val="21"/>
              </w:rPr>
              <w:t>Health Statistics A</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PHPM40014</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妇产科学总论</w:t>
            </w:r>
            <w:r>
              <w:br/>
            </w:r>
            <w:r>
              <w:br/>
            </w:r>
            <w:r>
              <w:rPr>
                <w:rFonts w:ascii="SimSun" w:hAnsi="SimSun"/>
                <w:b w:val="false"/>
                <w:i w:val="false"/>
                <w:color w:val="000000"/>
                <w:sz w:val="21"/>
              </w:rPr>
              <w:t>Introduction of Obstetrics and Gynaecology</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MED30089</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儿科学总论</w:t>
            </w:r>
            <w:r>
              <w:br/>
            </w:r>
            <w:r>
              <w:br/>
            </w:r>
            <w:r>
              <w:rPr>
                <w:rFonts w:ascii="SimSun" w:hAnsi="SimSun"/>
                <w:b w:val="false"/>
                <w:i w:val="false"/>
                <w:color w:val="000000"/>
                <w:sz w:val="21"/>
              </w:rPr>
              <w:t>Pediatrics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MED30093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口腔解剖生理学</w:t>
            </w:r>
            <w:r>
              <w:br/>
            </w:r>
            <w:r>
              <w:br/>
            </w:r>
            <w:r>
              <w:rPr>
                <w:rFonts w:ascii="SimSun" w:hAnsi="SimSun"/>
                <w:b w:val="false"/>
                <w:i w:val="false"/>
                <w:color w:val="000000"/>
                <w:sz w:val="21"/>
              </w:rPr>
              <w:t>Oral Anatomy and Physiology</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80</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STOM30009</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口腔组织病理学</w:t>
            </w:r>
            <w:r>
              <w:br/>
            </w:r>
            <w:r>
              <w:br/>
            </w:r>
            <w:r>
              <w:rPr>
                <w:rFonts w:ascii="SimSun" w:hAnsi="SimSun"/>
                <w:b w:val="false"/>
                <w:i w:val="false"/>
                <w:color w:val="000000"/>
                <w:sz w:val="21"/>
              </w:rPr>
              <w:t>Oral Histology and Pathology</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40</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STOM30012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口腔黏膜病学</w:t>
            </w:r>
            <w:r>
              <w:br/>
            </w:r>
            <w:r>
              <w:br/>
            </w:r>
            <w:r>
              <w:rPr>
                <w:rFonts w:ascii="SimSun" w:hAnsi="SimSun"/>
                <w:b w:val="false"/>
                <w:i w:val="false"/>
                <w:color w:val="000000"/>
                <w:sz w:val="21"/>
              </w:rPr>
              <w:t>Oral Medicine</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STOM40028</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口腔颌面外科学</w:t>
            </w:r>
            <w:r>
              <w:br/>
            </w:r>
            <w:r>
              <w:br/>
            </w:r>
            <w:r>
              <w:rPr>
                <w:rFonts w:ascii="SimSun" w:hAnsi="SimSun"/>
                <w:b w:val="false"/>
                <w:i w:val="false"/>
                <w:color w:val="000000"/>
                <w:sz w:val="21"/>
              </w:rPr>
              <w:t>Oral and Maxillofacial Surgery</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104</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STOM40033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口腔修复学（上）</w:t>
            </w:r>
            <w:r>
              <w:br/>
            </w:r>
            <w:r>
              <w:br/>
            </w:r>
            <w:r>
              <w:rPr>
                <w:rFonts w:ascii="SimSun" w:hAnsi="SimSun"/>
                <w:b w:val="false"/>
                <w:i w:val="false"/>
                <w:color w:val="000000"/>
                <w:sz w:val="21"/>
              </w:rPr>
              <w:t>Prothodontics I</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88</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STOM40030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口腔颌面医学影像诊断学</w:t>
            </w:r>
            <w:r>
              <w:br/>
            </w:r>
            <w:r>
              <w:br/>
            </w:r>
            <w:r>
              <w:rPr>
                <w:rFonts w:ascii="SimSun" w:hAnsi="SimSun"/>
                <w:b w:val="false"/>
                <w:i w:val="false"/>
                <w:color w:val="000000"/>
                <w:sz w:val="21"/>
              </w:rPr>
              <w:t>Diagnosis of Oral &amp; Maxillofacial Medical Imaging</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STOM40006</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牙体牙髓病学</w:t>
            </w:r>
            <w:r>
              <w:br/>
            </w:r>
            <w:r>
              <w:br/>
            </w:r>
            <w:r>
              <w:rPr>
                <w:rFonts w:ascii="SimSun" w:hAnsi="SimSun"/>
                <w:b w:val="false"/>
                <w:i w:val="false"/>
                <w:color w:val="000000"/>
                <w:sz w:val="21"/>
              </w:rPr>
              <w:t>Endodontics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5.5</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128</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STOM40007</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牙周病学</w:t>
            </w:r>
            <w:r>
              <w:br/>
            </w:r>
            <w:r>
              <w:br/>
            </w:r>
            <w:r>
              <w:rPr>
                <w:rFonts w:ascii="SimSun" w:hAnsi="SimSun"/>
                <w:b w:val="false"/>
                <w:i w:val="false"/>
                <w:color w:val="000000"/>
                <w:sz w:val="21"/>
              </w:rPr>
              <w:t>Periodontology</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2.5</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STOM40008</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口腔预防医学</w:t>
            </w:r>
            <w:r>
              <w:br/>
            </w:r>
            <w:r>
              <w:br/>
            </w:r>
            <w:r>
              <w:rPr>
                <w:rFonts w:ascii="SimSun" w:hAnsi="SimSun"/>
                <w:b w:val="false"/>
                <w:i w:val="false"/>
                <w:color w:val="000000"/>
                <w:sz w:val="21"/>
              </w:rPr>
              <w:t>Preventive Dentistry</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STOM40032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口腔颌面整合肿瘤学</w:t>
            </w:r>
            <w:r>
              <w:br/>
            </w:r>
            <w:r>
              <w:br/>
            </w:r>
            <w:r>
              <w:rPr>
                <w:rFonts w:ascii="SimSun" w:hAnsi="SimSun"/>
                <w:b w:val="false"/>
                <w:i w:val="false"/>
                <w:color w:val="000000"/>
                <w:sz w:val="21"/>
              </w:rPr>
              <w:t>Oral and Maxillofacial Oncology</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2.5</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48</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STOM40034</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口腔修复学（下）</w:t>
            </w:r>
            <w:r>
              <w:br/>
            </w:r>
            <w:r>
              <w:br/>
            </w:r>
            <w:r>
              <w:rPr>
                <w:rFonts w:ascii="SimSun" w:hAnsi="SimSun"/>
                <w:b w:val="false"/>
                <w:i w:val="false"/>
                <w:color w:val="000000"/>
                <w:sz w:val="21"/>
              </w:rPr>
              <w:t>Prothodontics II</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3.5</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80</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STOM40031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儿童口腔医学</w:t>
            </w:r>
            <w:r>
              <w:br/>
            </w:r>
            <w:r>
              <w:br/>
            </w:r>
            <w:r>
              <w:rPr>
                <w:rFonts w:ascii="SimSun" w:hAnsi="SimSun"/>
                <w:b w:val="false"/>
                <w:i w:val="false"/>
                <w:color w:val="000000"/>
                <w:sz w:val="21"/>
              </w:rPr>
              <w:t>Pediatric Dentistry</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40</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STOM40011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口腔正畸学</w:t>
            </w:r>
            <w:r>
              <w:br/>
            </w:r>
            <w:r>
              <w:br/>
            </w:r>
            <w:r>
              <w:rPr>
                <w:rFonts w:ascii="SimSun" w:hAnsi="SimSun"/>
                <w:b w:val="false"/>
                <w:i w:val="false"/>
                <w:color w:val="000000"/>
                <w:sz w:val="21"/>
              </w:rPr>
              <w:t>Orthodontics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2.5</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48</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STOM40012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口腔种植学</w:t>
            </w:r>
            <w:r>
              <w:br/>
            </w:r>
            <w:r>
              <w:br/>
            </w:r>
            <w:r>
              <w:rPr>
                <w:rFonts w:ascii="SimSun" w:hAnsi="SimSun"/>
                <w:b w:val="false"/>
                <w:i w:val="false"/>
                <w:color w:val="000000"/>
                <w:sz w:val="21"/>
              </w:rPr>
              <w:t>Oral Implantology</w:t>
            </w:r>
          </w:p>
        </w:tc>
        <w:tc>
          <w:tcPr>
            <w:tcW w:w="80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16</w:t>
            </w:r>
          </w:p>
        </w:tc>
        <w:tc>
          <w:tcPr>
            <w:tcW w:w="112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7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STOM40013</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2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(三) 多元发展课程</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包括专业进阶路径、跨学科发展路径、辅修学士学位路径、创新创业路径，要求在院系专业导师指导下选择1条发展路径，按路径要求修读课程。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专业进阶路径</w:t>
      </w:r>
      <w:r>
        <w:rPr>
          <w:rFonts w:ascii="SimSun" w:hAnsi="SimSun"/>
          <w:b/>
          <w:i w:val="false"/>
          <w:color w:val="000000"/>
          <w:sz w:val="21"/>
        </w:rPr>
        <w:t>（18.5学分）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修满18.5学分。完成专业进阶路径修读，可以向口腔医学院申请推免直研资格，毕业时可获得口腔医学毕业证书；通过毕业理论考和操作考，达到学位要求者授予医学学士学位。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专业进阶课程</w:t>
      </w:r>
      <w:r>
        <w:rPr>
          <w:rFonts w:ascii="SimSun" w:hAnsi="SimSun"/>
          <w:b/>
          <w:i w:val="false"/>
          <w:color w:val="000000"/>
          <w:sz w:val="21"/>
        </w:rPr>
        <w:t>（18.5学分）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05"/>
        <w:gridCol w:w="800"/>
        <w:gridCol w:w="800"/>
        <w:gridCol w:w="1122"/>
        <w:gridCol w:w="1778"/>
        <w:gridCol w:w="801"/>
        <w:gridCol w:w="801"/>
        <w:gridCol w:w="801"/>
        <w:gridCol w:w="801"/>
        <w:gridCol w:w="1122"/>
        <w:gridCol w:w="1603"/>
      </w:tblGrid>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口腔医学导论</w:t>
            </w:r>
            <w:r>
              <w:br/>
            </w:r>
            <w:r>
              <w:br/>
            </w:r>
            <w:r>
              <w:rPr>
                <w:rFonts w:ascii="SimSun" w:hAnsi="SimSun"/>
                <w:b w:val="false"/>
                <w:i w:val="false"/>
                <w:color w:val="000000"/>
                <w:sz w:val="21"/>
              </w:rPr>
              <w:t>Introduction of Stomatology</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24</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STOM10002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走近口腔医学Ⅰ</w:t>
            </w:r>
            <w:r>
              <w:br/>
            </w:r>
            <w:r>
              <w:br/>
            </w:r>
            <w:r>
              <w:rPr>
                <w:rFonts w:ascii="SimSun" w:hAnsi="SimSun"/>
                <w:b w:val="false"/>
                <w:i w:val="false"/>
                <w:color w:val="000000"/>
                <w:sz w:val="21"/>
              </w:rPr>
              <w:t>Introduction to Community and Clinical Dentistry</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STOM20003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2,3</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医学遗传学</w:t>
            </w:r>
            <w:r>
              <w:br/>
            </w:r>
            <w:r>
              <w:br/>
            </w:r>
            <w:r>
              <w:rPr>
                <w:rFonts w:ascii="SimSun" w:hAnsi="SimSun"/>
                <w:b w:val="false"/>
                <w:i w:val="false"/>
                <w:color w:val="000000"/>
                <w:sz w:val="21"/>
              </w:rPr>
              <w:t>Medical Genetics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24</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MED30117</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功能学科综合实验</w:t>
            </w:r>
            <w:r>
              <w:br/>
            </w:r>
            <w:r>
              <w:br/>
            </w:r>
            <w:r>
              <w:rPr>
                <w:rFonts w:ascii="SimSun" w:hAnsi="SimSun"/>
                <w:b w:val="false"/>
                <w:i w:val="false"/>
                <w:color w:val="000000"/>
                <w:sz w:val="21"/>
              </w:rPr>
              <w:t>Experiments of medical functional science</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64</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MED30103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走进口腔医学II</w:t>
            </w:r>
            <w:r>
              <w:br/>
            </w:r>
            <w:r>
              <w:br/>
            </w:r>
            <w:r>
              <w:rPr>
                <w:rFonts w:ascii="SimSun" w:hAnsi="SimSun"/>
                <w:b w:val="false"/>
                <w:i w:val="false"/>
                <w:color w:val="000000"/>
                <w:sz w:val="21"/>
              </w:rPr>
              <w:t>Foundations of Dental Practice and Communication</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STOM20004</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诊断学B</w:t>
            </w:r>
            <w:r>
              <w:br/>
            </w:r>
            <w:r>
              <w:br/>
            </w:r>
            <w:r>
              <w:rPr>
                <w:rFonts w:ascii="SimSun" w:hAnsi="SimSun"/>
                <w:b w:val="false"/>
                <w:i w:val="false"/>
                <w:color w:val="000000"/>
                <w:sz w:val="21"/>
              </w:rPr>
              <w:t>Diagnostics B</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3.5</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64</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MED30019</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传染病学</w:t>
            </w:r>
            <w:r>
              <w:br/>
            </w:r>
            <w:r>
              <w:br/>
            </w:r>
            <w:r>
              <w:rPr>
                <w:rFonts w:ascii="SimSun" w:hAnsi="SimSun"/>
                <w:b w:val="false"/>
                <w:i w:val="false"/>
                <w:color w:val="000000"/>
                <w:sz w:val="21"/>
              </w:rPr>
              <w:t>Infectious diseases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MED30091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口腔材料学</w:t>
            </w:r>
            <w:r>
              <w:br/>
            </w:r>
            <w:r>
              <w:br/>
            </w:r>
            <w:r>
              <w:rPr>
                <w:rFonts w:ascii="SimSun" w:hAnsi="SimSun"/>
                <w:b w:val="false"/>
                <w:i w:val="false"/>
                <w:color w:val="000000"/>
                <w:sz w:val="21"/>
              </w:rPr>
              <w:t>Dental Materials Science</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STOM30005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牙合学</w:t>
            </w:r>
            <w:r>
              <w:br/>
            </w:r>
            <w:r>
              <w:br/>
            </w:r>
            <w:r>
              <w:rPr>
                <w:rFonts w:ascii="SimSun" w:hAnsi="SimSun"/>
                <w:b w:val="false"/>
                <w:i w:val="false"/>
                <w:color w:val="000000"/>
                <w:sz w:val="21"/>
              </w:rPr>
              <w:t>Occlusiology</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28</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STOM40019</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0.25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口腔专业英语</w:t>
            </w:r>
            <w:r>
              <w:br/>
            </w:r>
            <w:r>
              <w:br/>
            </w:r>
            <w:r>
              <w:rPr>
                <w:rFonts w:ascii="SimSun" w:hAnsi="SimSun"/>
                <w:b w:val="false"/>
                <w:i w:val="false"/>
                <w:color w:val="000000"/>
                <w:sz w:val="21"/>
              </w:rPr>
              <w:t>English in Stomatology</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STOM40017</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口腔人工智能设备学</w:t>
            </w:r>
            <w:r>
              <w:br/>
            </w:r>
            <w:r>
              <w:br/>
            </w:r>
            <w:r>
              <w:rPr>
                <w:rFonts w:ascii="SimSun" w:hAnsi="SimSun"/>
                <w:b w:val="false"/>
                <w:i w:val="false"/>
                <w:color w:val="000000"/>
                <w:sz w:val="21"/>
              </w:rPr>
              <w:t>Artificial Intelligence for Devices in Stomatology</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48</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STOM40029</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基于口腔疾病的多学科教学</w:t>
            </w:r>
            <w:r>
              <w:br/>
            </w:r>
            <w:r>
              <w:br/>
            </w:r>
            <w:r>
              <w:rPr>
                <w:rFonts w:ascii="SimSun" w:hAnsi="SimSun"/>
                <w:b w:val="false"/>
                <w:i w:val="false"/>
                <w:color w:val="000000"/>
                <w:sz w:val="21"/>
              </w:rPr>
              <w:t>Problem- based learning（stomatology）</w:t>
            </w:r>
          </w:p>
        </w:tc>
        <w:tc>
          <w:tcPr>
            <w:tcW w:w="80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80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24</w:t>
            </w:r>
          </w:p>
        </w:tc>
        <w:tc>
          <w:tcPr>
            <w:tcW w:w="112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7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STOM40025</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2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任意选修</w:t>
      </w:r>
      <w:r>
        <w:rPr>
          <w:rFonts w:ascii="SimSun" w:hAnsi="SimSun"/>
          <w:b/>
          <w:i w:val="false"/>
          <w:color w:val="000000"/>
          <w:sz w:val="21"/>
        </w:rPr>
        <w:t>（0学分）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2.  荣誉项目路径</w:t>
      </w:r>
      <w:r>
        <w:rPr>
          <w:rFonts w:ascii="SimSun" w:hAnsi="SimSun"/>
          <w:b/>
          <w:i w:val="false"/>
          <w:color w:val="000000"/>
          <w:sz w:val="21"/>
        </w:rPr>
        <w:t>（0学分）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无
      </w:t>
      </w:r>
    </w:p>
    <w:p>
      <w:pPr>
        <w:spacing w:after="0"/>
        <w:ind w:left="0"/>
        <w:jc w:val="left"/>
      </w:pPr>
      <w:r>
        <w:rPr>
          <w:rFonts w:ascii="SimSun" w:hAnsi="SimSun"/>
          <w:b/>
          <w:i w:val="false"/>
          <w:color w:val="000000"/>
          <w:sz w:val="21"/>
        </w:rPr>
        <w:t xml:space="preserve">
       </w:t>
      </w:r>
      <w:r>
        <w:rPr>
          <w:rFonts w:ascii="SimSun" w:hAnsi="SimSun"/>
          <w:b/>
          <w:i w:val="false"/>
          <w:color w:val="000000"/>
          <w:sz w:val="21"/>
        </w:rPr>
        <w:t>3.  跨学科发展路径</w:t>
      </w:r>
      <w:r>
        <w:rPr>
          <w:rFonts w:ascii="SimSun" w:hAnsi="SimSun"/>
          <w:b/>
          <w:i w:val="false"/>
          <w:color w:val="000000"/>
          <w:sz w:val="21"/>
        </w:rPr>
        <w:t>（25学分）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25学分。要求修读2个非本专业独立开设的学程，可选择专业学程或跨学科学程。学分不足部分可在全校所有本科生课程中任意选修。完成跨学科发展路径的学生，不能向口腔医学院申请推免直研资格，口腔医学院也不为其提供专业排名。
       </w:t>
      </w:r>
      <w:r>
        <w:br/>
      </w:r>
      <w:r>
        <w:rPr>
          <w:rFonts w:ascii="SimSun" w:hAnsi="SimSun"/>
          <w:b w:val="false"/>
          <w:i w:val="false"/>
          <w:color w:val="000000"/>
          <w:sz w:val="21"/>
        </w:rPr>
        <w:t xml:space="preserve">
       </w:t>
      </w:r>
      <w:r>
        <w:br/>
      </w:r>
      <w:r>
        <w:rPr>
          <w:rFonts w:ascii="SimSun" w:hAnsi="SimSun"/>
          <w:b w:val="false"/>
          <w:i w:val="false"/>
          <w:color w:val="000000"/>
          <w:sz w:val="21"/>
        </w:rPr>
        <w:t xml:space="preserve">    学程课程详见教务处学程项目网页，下载地址：https://jwc.fudan.edu.cn/（复旦大学教务处）专业培养-常用文档。完成学程修读要求的学生可获得相应的学程证书。
      </w:t>
      </w:r>
    </w:p>
    <w:p>
      <w:pPr>
        <w:spacing w:after="0"/>
        <w:ind w:left="0"/>
        <w:jc w:val="left"/>
      </w:pPr>
      <w:r>
        <w:rPr>
          <w:rFonts w:ascii="SimSun" w:hAnsi="SimSun"/>
          <w:b/>
          <w:i w:val="false"/>
          <w:color w:val="000000"/>
          <w:sz w:val="21"/>
        </w:rPr>
        <w:t xml:space="preserve">
       </w:t>
      </w:r>
      <w:r>
        <w:rPr>
          <w:rFonts w:ascii="SimSun" w:hAnsi="SimSun"/>
          <w:b/>
          <w:i w:val="false"/>
          <w:color w:val="000000"/>
          <w:sz w:val="21"/>
        </w:rPr>
        <w:t>4.  创新创业路径</w:t>
      </w:r>
      <w:r>
        <w:rPr>
          <w:rFonts w:ascii="SimSun" w:hAnsi="SimSun"/>
          <w:b/>
          <w:i w:val="false"/>
          <w:color w:val="000000"/>
          <w:sz w:val="21"/>
        </w:rPr>
        <w:t>（25学分）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25学分。要求修读1个创新创业学院开设的创新创业学程，以及1个非本专业独立开设的专业学程或跨学科学程。修读学分不足部分可在全校所有本科生课程中任意选修。完成创新创业路径的学生，不能向口腔医学院申请推免直研资格，口腔医学院也不为其提供专业排名。创新创业学程课程详见教务处学程项目网页，下载地址：https://jwc.fudan.edu.cn/（复旦大学教务处）专业培养-常用文档。
      </w:t>
      </w:r>
    </w:p>
    <w:p>
      <w:pPr>
        <w:spacing w:after="0"/>
        <w:ind w:left="0"/>
        <w:jc w:val="left"/>
      </w:pPr>
      <w:r>
        <w:rPr>
          <w:rFonts w:ascii="SimSun" w:hAnsi="SimSun"/>
          <w:b/>
          <w:i w:val="false"/>
          <w:color w:val="000000"/>
          <w:sz w:val="21"/>
        </w:rPr>
        <w:t xml:space="preserve">
       </w:t>
      </w:r>
      <w:r>
        <w:rPr>
          <w:rFonts w:ascii="SimSun" w:hAnsi="SimSun"/>
          <w:b/>
          <w:i w:val="false"/>
          <w:color w:val="000000"/>
          <w:sz w:val="21"/>
        </w:rPr>
        <w:t>5.  辅修学士学位路径</w:t>
      </w:r>
      <w:r>
        <w:rPr>
          <w:rFonts w:ascii="SimSun" w:hAnsi="SimSun"/>
          <w:b/>
          <w:i w:val="false"/>
          <w:color w:val="000000"/>
          <w:sz w:val="21"/>
        </w:rPr>
        <w:t>（58.5学分）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至少修满58.5学分 。修读本专业进阶模块（18.5学分）和1个辅修学士学位项目（40学分），辅修学士学位应与主修学士学位归属不同的本科专业大类。
       </w:t>
      </w:r>
      <w:r>
        <w:br/>
      </w:r>
      <w:r>
        <w:rPr>
          <w:rFonts w:ascii="SimSun" w:hAnsi="SimSun"/>
          <w:b w:val="false"/>
          <w:i w:val="false"/>
          <w:color w:val="000000"/>
          <w:sz w:val="21"/>
        </w:rPr>
        <w:t xml:space="preserve">
       </w:t>
      </w:r>
      <w:r>
        <w:br/>
      </w:r>
      <w:r>
        <w:rPr>
          <w:rFonts w:ascii="SimSun" w:hAnsi="SimSun"/>
          <w:b w:val="false"/>
          <w:i w:val="false"/>
          <w:color w:val="000000"/>
          <w:sz w:val="21"/>
        </w:rPr>
        <w:t xml:space="preserve">    辅修学士学位项目课程设置详见教务处辅修学士学位项目网页，下载地址：https://jwc.fudan.edu.cn/（复旦大学教务处）专业培养-常用文档。完成辅修学士学位项目修读要求，且达到学校毕业和学位授予要求的学生可获得相应的辅修学士学位证书。完成辅修学士学位路径的学生，可以向口腔医学院申请推免直研资格，通过毕业理论考和操作考，达到学位要求者授予医学学士学位。
      </w:t>
      </w:r>
    </w:p>
    <w:p>
      <w:pPr>
        <w:spacing w:after="0"/>
        <w:ind w:left="0"/>
        <w:jc w:val="left"/>
      </w:pPr>
      <w:r>
        <w:rPr>
          <w:rFonts w:ascii="SimSun" w:hAnsi="SimSun"/>
          <w:b/>
          <w:i w:val="false"/>
          <w:color w:val="000000"/>
          <w:sz w:val="21"/>
        </w:rPr>
        <w:t xml:space="preserve">
       </w:t>
      </w:r>
      <w:r>
        <w:rPr>
          <w:rFonts w:ascii="SimSun" w:hAnsi="SimSun"/>
          <w:b/>
          <w:i w:val="false"/>
          <w:color w:val="000000"/>
          <w:sz w:val="21"/>
        </w:rPr>
        <w:t>其他</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(四) 融合创新能力</w:t>
      </w:r>
      <w:r>
        <w:rPr>
          <w:rFonts w:ascii="SimSun" w:hAnsi="SimSun"/>
          <w:b/>
          <w:i w:val="false"/>
          <w:color w:val="000000"/>
          <w:sz w:val="21"/>
        </w:rPr>
        <w:t>（57.5学分）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1. 通过实验、实习和实践教学环节，循序渐进强化学生的知识学习和技能训练，促进知识转化，逐步深化系统性诊疗思维的建立，培养多学科思维和诊疗能力，引导学生在医疗实践中形成科学问题。
       </w:t>
      </w:r>
      <w:r>
        <w:br/>
      </w:r>
      <w:r>
        <w:rPr>
          <w:rFonts w:ascii="SimSun" w:hAnsi="SimSun"/>
          <w:b w:val="false"/>
          <w:i w:val="false"/>
          <w:color w:val="000000"/>
          <w:sz w:val="21"/>
        </w:rPr>
        <w:t xml:space="preserve">
       </w:t>
      </w:r>
      <w:r>
        <w:br/>
      </w:r>
      <w:r>
        <w:rPr>
          <w:rFonts w:ascii="SimSun" w:hAnsi="SimSun"/>
          <w:b w:val="false"/>
          <w:i w:val="false"/>
          <w:color w:val="000000"/>
          <w:sz w:val="21"/>
        </w:rPr>
        <w:t xml:space="preserve">2. 全周期的科研训练体系，在一年级开设《口腔医学导论》，介绍学科前沿进展；设立《早接触科研思维训练》培养科研思维，制定科研计划，逐步形成创新思维，并熟悉常见的科研方法和技术。
      </w:t>
      </w:r>
    </w:p>
    <w:tbl>
      <w:tblPr>
        <w:tblW w:w="0" w:type="auto"/>
        <w:tblCellSpacing w:w="0" w:type="auto"/>
        <w:tblBorders>
          <w:top w:val="none"/>
          <w:left w:val="none"/>
          <w:bottom w:val="none"/>
          <w:right w:val="none"/>
          <w:insideH w:val="none"/>
          <w:insideV w:val="none"/>
        </w:tblBorders>
      </w:tblPr>
      <w:tblGrid>
        <w:gridCol w:w="2969"/>
        <w:gridCol w:w="742"/>
        <w:gridCol w:w="742"/>
        <w:gridCol w:w="1039"/>
        <w:gridCol w:w="1660"/>
        <w:gridCol w:w="742"/>
        <w:gridCol w:w="742"/>
        <w:gridCol w:w="742"/>
        <w:gridCol w:w="1731"/>
        <w:gridCol w:w="1039"/>
        <w:gridCol w:w="1486"/>
      </w:tblGrid>
      <w:tr>
        <w:trPr>
          <w:trHeight w:val="45" w:hRule="atLeast"/>
        </w:trPr>
        <w:tc>
          <w:tcPr>
            <w:tcW w:w="29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0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173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0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48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29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早接触科研思维训练</w:t>
            </w:r>
            <w:r>
              <w:br/>
            </w:r>
            <w:r>
              <w:br/>
            </w:r>
            <w:r>
              <w:rPr>
                <w:rFonts w:ascii="SimSun" w:hAnsi="SimSun"/>
                <w:b w:val="false"/>
                <w:i w:val="false"/>
                <w:color w:val="000000"/>
                <w:sz w:val="21"/>
              </w:rPr>
              <w:t>Introduction to Craniofaciodental Research</w:t>
            </w:r>
          </w:p>
        </w:tc>
        <w:tc>
          <w:tcPr>
            <w:tcW w:w="7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56</w:t>
            </w:r>
          </w:p>
        </w:tc>
        <w:tc>
          <w:tcPr>
            <w:tcW w:w="10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STOM40020</w:t>
            </w:r>
          </w:p>
        </w:tc>
        <w:tc>
          <w:tcPr>
            <w:tcW w:w="7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7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173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1,2,3,4,5,6,7,8</w:t>
            </w:r>
          </w:p>
        </w:tc>
        <w:tc>
          <w:tcPr>
            <w:tcW w:w="10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48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29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内科学实习</w:t>
            </w:r>
            <w:r>
              <w:br/>
            </w:r>
            <w:r>
              <w:br/>
            </w:r>
            <w:r>
              <w:rPr>
                <w:rFonts w:ascii="SimSun" w:hAnsi="SimSun"/>
                <w:b w:val="false"/>
                <w:i w:val="false"/>
                <w:color w:val="000000"/>
                <w:sz w:val="21"/>
              </w:rPr>
              <w:t>Internship in Internal Medicine</w:t>
            </w:r>
          </w:p>
        </w:tc>
        <w:tc>
          <w:tcPr>
            <w:tcW w:w="7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160</w:t>
            </w:r>
          </w:p>
        </w:tc>
        <w:tc>
          <w:tcPr>
            <w:tcW w:w="10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STOM30003</w:t>
            </w:r>
          </w:p>
        </w:tc>
        <w:tc>
          <w:tcPr>
            <w:tcW w:w="7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w:t>
            </w:r>
          </w:p>
        </w:tc>
        <w:tc>
          <w:tcPr>
            <w:tcW w:w="173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0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48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29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外科学实习</w:t>
            </w:r>
            <w:r>
              <w:br/>
            </w:r>
            <w:r>
              <w:br/>
            </w:r>
            <w:r>
              <w:rPr>
                <w:rFonts w:ascii="SimSun" w:hAnsi="SimSun"/>
                <w:b w:val="false"/>
                <w:i w:val="false"/>
                <w:color w:val="000000"/>
                <w:sz w:val="21"/>
              </w:rPr>
              <w:t>Surgical Internship</w:t>
            </w:r>
          </w:p>
        </w:tc>
        <w:tc>
          <w:tcPr>
            <w:tcW w:w="7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160</w:t>
            </w:r>
          </w:p>
        </w:tc>
        <w:tc>
          <w:tcPr>
            <w:tcW w:w="10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STOM30004</w:t>
            </w:r>
          </w:p>
        </w:tc>
        <w:tc>
          <w:tcPr>
            <w:tcW w:w="7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w:t>
            </w:r>
          </w:p>
        </w:tc>
        <w:tc>
          <w:tcPr>
            <w:tcW w:w="173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0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48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29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临床衔接课程</w:t>
            </w:r>
            <w:r>
              <w:br/>
            </w:r>
            <w:r>
              <w:br/>
            </w:r>
            <w:r>
              <w:rPr>
                <w:rFonts w:ascii="SimSun" w:hAnsi="SimSun"/>
                <w:b w:val="false"/>
                <w:i w:val="false"/>
                <w:color w:val="000000"/>
                <w:sz w:val="21"/>
              </w:rPr>
              <w:t>Clinical Bridging Course</w:t>
            </w:r>
          </w:p>
        </w:tc>
        <w:tc>
          <w:tcPr>
            <w:tcW w:w="7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7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48</w:t>
            </w:r>
          </w:p>
        </w:tc>
        <w:tc>
          <w:tcPr>
            <w:tcW w:w="10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STOM40014</w:t>
            </w:r>
          </w:p>
        </w:tc>
        <w:tc>
          <w:tcPr>
            <w:tcW w:w="7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173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0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48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29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儿童口腔科实习</w:t>
            </w:r>
            <w:r>
              <w:br/>
            </w:r>
            <w:r>
              <w:br/>
            </w:r>
            <w:r>
              <w:rPr>
                <w:rFonts w:ascii="SimSun" w:hAnsi="SimSun"/>
                <w:b w:val="false"/>
                <w:i w:val="false"/>
                <w:color w:val="000000"/>
                <w:sz w:val="21"/>
              </w:rPr>
              <w:t>Clinical Internship in Department of Pediatric Dentistry</w:t>
            </w:r>
          </w:p>
        </w:tc>
        <w:tc>
          <w:tcPr>
            <w:tcW w:w="7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160</w:t>
            </w:r>
          </w:p>
        </w:tc>
        <w:tc>
          <w:tcPr>
            <w:tcW w:w="10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STOM50006</w:t>
            </w:r>
          </w:p>
        </w:tc>
        <w:tc>
          <w:tcPr>
            <w:tcW w:w="7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173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w:t>
            </w:r>
          </w:p>
        </w:tc>
        <w:tc>
          <w:tcPr>
            <w:tcW w:w="10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48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29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牙体牙髓病科实习</w:t>
            </w:r>
            <w:r>
              <w:br/>
            </w:r>
            <w:r>
              <w:br/>
            </w:r>
            <w:r>
              <w:rPr>
                <w:rFonts w:ascii="SimSun" w:hAnsi="SimSun"/>
                <w:b w:val="false"/>
                <w:i w:val="false"/>
                <w:color w:val="000000"/>
                <w:sz w:val="21"/>
              </w:rPr>
              <w:t>Practice in Operative Dentistry and Endodontics</w:t>
            </w:r>
          </w:p>
        </w:tc>
        <w:tc>
          <w:tcPr>
            <w:tcW w:w="7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7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320</w:t>
            </w:r>
          </w:p>
        </w:tc>
        <w:tc>
          <w:tcPr>
            <w:tcW w:w="10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STOM50007</w:t>
            </w:r>
          </w:p>
        </w:tc>
        <w:tc>
          <w:tcPr>
            <w:tcW w:w="7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7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173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w:t>
            </w:r>
          </w:p>
        </w:tc>
        <w:tc>
          <w:tcPr>
            <w:tcW w:w="10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48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29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口腔预防科实习</w:t>
            </w:r>
            <w:r>
              <w:br/>
            </w:r>
            <w:r>
              <w:br/>
            </w:r>
            <w:r>
              <w:rPr>
                <w:rFonts w:ascii="SimSun" w:hAnsi="SimSun"/>
                <w:b w:val="false"/>
                <w:i w:val="false"/>
                <w:color w:val="000000"/>
                <w:sz w:val="21"/>
              </w:rPr>
              <w:t>Preventive Dentistry Practise</w:t>
            </w:r>
          </w:p>
        </w:tc>
        <w:tc>
          <w:tcPr>
            <w:tcW w:w="7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80</w:t>
            </w:r>
          </w:p>
        </w:tc>
        <w:tc>
          <w:tcPr>
            <w:tcW w:w="10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STOM50001</w:t>
            </w:r>
          </w:p>
        </w:tc>
        <w:tc>
          <w:tcPr>
            <w:tcW w:w="7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173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w:t>
            </w:r>
          </w:p>
        </w:tc>
        <w:tc>
          <w:tcPr>
            <w:tcW w:w="10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48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29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口腔黏膜病科实习</w:t>
            </w:r>
            <w:r>
              <w:br/>
            </w:r>
            <w:r>
              <w:br/>
            </w:r>
            <w:r>
              <w:rPr>
                <w:rFonts w:ascii="SimSun" w:hAnsi="SimSun"/>
                <w:b w:val="false"/>
                <w:i w:val="false"/>
                <w:color w:val="000000"/>
                <w:sz w:val="21"/>
              </w:rPr>
              <w:t>Practice in Oral mucosal diseases</w:t>
            </w:r>
          </w:p>
        </w:tc>
        <w:tc>
          <w:tcPr>
            <w:tcW w:w="7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80</w:t>
            </w:r>
          </w:p>
        </w:tc>
        <w:tc>
          <w:tcPr>
            <w:tcW w:w="10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STOM50002</w:t>
            </w:r>
          </w:p>
        </w:tc>
        <w:tc>
          <w:tcPr>
            <w:tcW w:w="7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173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w:t>
            </w:r>
          </w:p>
        </w:tc>
        <w:tc>
          <w:tcPr>
            <w:tcW w:w="10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48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29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口腔放射科实习</w:t>
            </w:r>
            <w:r>
              <w:br/>
            </w:r>
            <w:r>
              <w:br/>
            </w:r>
            <w:r>
              <w:rPr>
                <w:rFonts w:ascii="SimSun" w:hAnsi="SimSun"/>
                <w:b w:val="false"/>
                <w:i w:val="false"/>
                <w:color w:val="000000"/>
                <w:sz w:val="21"/>
              </w:rPr>
              <w:t>Oral  and Maxillofacial medical  imaging practicum</w:t>
            </w:r>
          </w:p>
        </w:tc>
        <w:tc>
          <w:tcPr>
            <w:tcW w:w="7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80</w:t>
            </w:r>
          </w:p>
        </w:tc>
        <w:tc>
          <w:tcPr>
            <w:tcW w:w="10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STOM50003</w:t>
            </w:r>
          </w:p>
        </w:tc>
        <w:tc>
          <w:tcPr>
            <w:tcW w:w="7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173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w:t>
            </w:r>
          </w:p>
        </w:tc>
        <w:tc>
          <w:tcPr>
            <w:tcW w:w="10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48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29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牙周科实习</w:t>
            </w:r>
            <w:r>
              <w:br/>
            </w:r>
            <w:r>
              <w:br/>
            </w:r>
            <w:r>
              <w:rPr>
                <w:rFonts w:ascii="SimSun" w:hAnsi="SimSun"/>
                <w:b w:val="false"/>
                <w:i w:val="false"/>
                <w:color w:val="000000"/>
                <w:sz w:val="21"/>
              </w:rPr>
              <w:t>Internship of Periodontology</w:t>
            </w:r>
          </w:p>
        </w:tc>
        <w:tc>
          <w:tcPr>
            <w:tcW w:w="7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200</w:t>
            </w:r>
          </w:p>
        </w:tc>
        <w:tc>
          <w:tcPr>
            <w:tcW w:w="10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STOM50004</w:t>
            </w:r>
          </w:p>
        </w:tc>
        <w:tc>
          <w:tcPr>
            <w:tcW w:w="7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173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w:t>
            </w:r>
          </w:p>
        </w:tc>
        <w:tc>
          <w:tcPr>
            <w:tcW w:w="10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48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29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口腔颌面外科实习</w:t>
            </w:r>
            <w:r>
              <w:br/>
            </w:r>
            <w:r>
              <w:br/>
            </w:r>
            <w:r>
              <w:rPr>
                <w:rFonts w:ascii="SimSun" w:hAnsi="SimSun"/>
                <w:b w:val="false"/>
                <w:i w:val="false"/>
                <w:color w:val="000000"/>
                <w:sz w:val="21"/>
              </w:rPr>
              <w:t>Internship of Oral and Maxillofacial Surgery</w:t>
            </w:r>
          </w:p>
        </w:tc>
        <w:tc>
          <w:tcPr>
            <w:tcW w:w="7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w:t>
            </w:r>
          </w:p>
        </w:tc>
        <w:tc>
          <w:tcPr>
            <w:tcW w:w="7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360</w:t>
            </w:r>
          </w:p>
        </w:tc>
        <w:tc>
          <w:tcPr>
            <w:tcW w:w="10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STOM50008</w:t>
            </w:r>
          </w:p>
        </w:tc>
        <w:tc>
          <w:tcPr>
            <w:tcW w:w="7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w:t>
            </w:r>
          </w:p>
        </w:tc>
        <w:tc>
          <w:tcPr>
            <w:tcW w:w="7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w:t>
            </w:r>
          </w:p>
        </w:tc>
        <w:tc>
          <w:tcPr>
            <w:tcW w:w="173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w:t>
            </w:r>
          </w:p>
        </w:tc>
        <w:tc>
          <w:tcPr>
            <w:tcW w:w="10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48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29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口腔修复科实习</w:t>
            </w:r>
            <w:r>
              <w:br/>
            </w:r>
            <w:r>
              <w:br/>
            </w:r>
            <w:r>
              <w:rPr>
                <w:rFonts w:ascii="SimSun" w:hAnsi="SimSun"/>
                <w:b w:val="false"/>
                <w:i w:val="false"/>
                <w:color w:val="000000"/>
                <w:sz w:val="21"/>
              </w:rPr>
              <w:t>Internship in Prosthodontics Department</w:t>
            </w:r>
          </w:p>
        </w:tc>
        <w:tc>
          <w:tcPr>
            <w:tcW w:w="7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w:t>
            </w:r>
          </w:p>
        </w:tc>
        <w:tc>
          <w:tcPr>
            <w:tcW w:w="7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400</w:t>
            </w:r>
          </w:p>
        </w:tc>
        <w:tc>
          <w:tcPr>
            <w:tcW w:w="10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STOM50005</w:t>
            </w:r>
          </w:p>
        </w:tc>
        <w:tc>
          <w:tcPr>
            <w:tcW w:w="7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w:t>
            </w:r>
          </w:p>
        </w:tc>
        <w:tc>
          <w:tcPr>
            <w:tcW w:w="7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173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w:t>
            </w:r>
          </w:p>
        </w:tc>
        <w:tc>
          <w:tcPr>
            <w:tcW w:w="10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48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296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口腔正畸学实习</w:t>
            </w:r>
            <w:r>
              <w:br/>
            </w:r>
            <w:r>
              <w:br/>
            </w:r>
            <w:r>
              <w:rPr>
                <w:rFonts w:ascii="SimSun" w:hAnsi="SimSun"/>
                <w:b w:val="false"/>
                <w:i w:val="false"/>
                <w:color w:val="000000"/>
                <w:sz w:val="21"/>
              </w:rPr>
              <w:t>Orthodontic practice</w:t>
            </w:r>
          </w:p>
        </w:tc>
        <w:tc>
          <w:tcPr>
            <w:tcW w:w="74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4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160</w:t>
            </w:r>
          </w:p>
        </w:tc>
        <w:tc>
          <w:tcPr>
            <w:tcW w:w="103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6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STOM50009</w:t>
            </w:r>
          </w:p>
        </w:tc>
        <w:tc>
          <w:tcPr>
            <w:tcW w:w="74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4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4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173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w:t>
            </w:r>
          </w:p>
        </w:tc>
        <w:tc>
          <w:tcPr>
            <w:tcW w:w="103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48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sectPr>
      <w:pgSz w:w="11907" w:h="16839" w:code="9"/>
      <w:pgMar w:top="1440" w:right="1440" w:bottom="1440" w:left="1440"/>
    </w:sectPr>
  </w:body>
</w:document>
</file>

<file path=word/numbering.xml><?xml version="1.0" encoding="utf-8"?>
<w:numbering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file>

<file path=word/settings.xml><?xml version="1.0" encoding="utf-8"?>
<w:setting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mc:Ignorable="">
  <w:compat>
    <w:compatSetting w:name="overrideTableStyleFontSizeAndJustification" w:uri="http://schemas.microsoft.com/office/word" w:val="1"/>
  </w:compat>
</w:settings>
</file>

<file path=word/styles.xml><?xml version="1.0" encoding="utf-8"?>
<w:style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qFormat/>
    <w:rsid w:val="004A3277"/>
  </w:style>
  <w:style w:type="paragraph" w:styleId="Heading1">
    <w:name w:val="heading 1"/>
    <w:basedOn w:val="Normal"/>
    <w:next w:val="Normal"/>
    <w:link w:val="Heading1Char"/>
    <w:uiPriority w:val="9"/>
    <w:qFormat/>
    <w:rsid w:val="00841CD9"/>
    <w:pPr>
      <w:keepNext/>
      <w:keepLines/>
      <w:spacing w:before="480"/>
      <w:outlineLvl w:val="0"/>
    </w:pPr>
    <w:rPr>
      <w:rFonts w:asciiTheme="majorHAnsi" w:hAnsiTheme="majorHAnsi"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heme="majorHAnsi" w:hAnsiTheme="majorHAnsi" w:eastAsiaTheme="majorEastAsia" w:cstheme="majorBidi"/>
      <w:b/>
      <w:bCs/>
      <w:color w:val="4F81BD" w:themeColor="accent1"/>
      <w:sz w:val="26"/>
      <w:szCs w:val="26"/>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heme="majorHAnsi" w:hAnsiTheme="majorHAnsi" w:eastAsiaTheme="majorEastAsia" w:cstheme="majorBidi"/>
      <w:b/>
      <w:bCs/>
      <w:color w:val="4F81BD" w:themeColor="accent1"/>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heme="majorHAnsi" w:hAnsiTheme="majorHAnsi" w:eastAsiaTheme="majorEastAsia" w:cstheme="majorBidi"/>
      <w:b/>
      <w:bCs/>
      <w:i/>
      <w:iCs/>
      <w:color w:val="4F81BD" w:themeColor="accent1"/>
    </w:rPr>
  </w:style>
  <w:style w:type="character" w:styleId="DefaultParagraphFont" w:default="true">
    <w:name w:val="Default Paragraph Font"/>
    <w:uiPriority w:val="1"/>
    <w:semiHidden/>
    <w:unhideWhenUsed/>
  </w:style>
  <w:style w:type="paragraph" w:styleId="Header">
    <w:name w:val="header"/>
    <w:basedOn w:val="Normal"/>
    <w:link w:val="HeaderChar"/>
    <w:uiPriority w:val="99"/>
    <w:unhideWhenUsed/>
    <w:rsid w:val="00841CD9"/>
    <w:pPr>
      <w:tabs>
        <w:tab w:val="center" w:pos="4680"/>
        <w:tab w:val="right" w:pos="9360"/>
      </w:tabs>
    </w:pPr>
  </w:style>
  <w:style w:type="character" w:styleId="HeaderChar" w:customStyle="true">
    <w:name w:val="Header Char"/>
    <w:basedOn w:val="DefaultParagraphFont"/>
    <w:link w:val="Header"/>
    <w:uiPriority w:val="99"/>
    <w:rsid w:val="00841CD9"/>
  </w:style>
  <w:style w:type="character" w:styleId="Heading1Char" w:customStyle="true">
    <w:name w:val="Heading 1 Char"/>
    <w:basedOn w:val="DefaultParagraphFont"/>
    <w:link w:val="Heading1"/>
    <w:uiPriority w:val="9"/>
    <w:rsid w:val="00841CD9"/>
    <w:rPr>
      <w:rFonts w:asciiTheme="majorHAnsi" w:hAnsiTheme="majorHAnsi" w:eastAsiaTheme="majorEastAsia" w:cstheme="majorBidi"/>
      <w:b/>
      <w:bCs/>
      <w:color w:val="365F91" w:themeColor="accent1" w:themeShade="BF"/>
      <w:sz w:val="28"/>
      <w:szCs w:val="28"/>
    </w:rPr>
  </w:style>
  <w:style w:type="character" w:styleId="Heading2Char" w:customStyle="true">
    <w:name w:val="Heading 2 Char"/>
    <w:basedOn w:val="DefaultParagraphFont"/>
    <w:link w:val="Heading2"/>
    <w:uiPriority w:val="9"/>
    <w:rsid w:val="00841CD9"/>
    <w:rPr>
      <w:rFonts w:asciiTheme="majorHAnsi" w:hAnsiTheme="majorHAnsi" w:eastAsiaTheme="majorEastAsia" w:cstheme="majorBidi"/>
      <w:b/>
      <w:bCs/>
      <w:color w:val="4F81BD" w:themeColor="accent1"/>
      <w:sz w:val="26"/>
      <w:szCs w:val="26"/>
    </w:rPr>
  </w:style>
  <w:style w:type="character" w:styleId="Heading3Char" w:customStyle="true">
    <w:name w:val="Heading 3 Char"/>
    <w:basedOn w:val="DefaultParagraphFont"/>
    <w:link w:val="Heading3"/>
    <w:uiPriority w:val="9"/>
    <w:rsid w:val="00841CD9"/>
    <w:rPr>
      <w:rFonts w:asciiTheme="majorHAnsi" w:hAnsiTheme="majorHAnsi" w:eastAsiaTheme="majorEastAsia" w:cstheme="majorBidi"/>
      <w:b/>
      <w:bCs/>
      <w:color w:val="4F81BD" w:themeColor="accent1"/>
    </w:rPr>
  </w:style>
  <w:style w:type="character" w:styleId="Heading4Char" w:customStyle="true">
    <w:name w:val="Heading 4 Char"/>
    <w:basedOn w:val="DefaultParagraphFont"/>
    <w:link w:val="Heading4"/>
    <w:uiPriority w:val="9"/>
    <w:rsid w:val="00841CD9"/>
    <w:rPr>
      <w:rFonts w:asciiTheme="majorHAnsi" w:hAnsiTheme="majorHAnsi" w:eastAsiaTheme="majorEastAsia" w:cstheme="majorBidi"/>
      <w:b/>
      <w:bCs/>
      <w:i/>
      <w:iCs/>
      <w:color w:val="4F81BD" w:themeColor="accent1"/>
    </w:rPr>
  </w:style>
  <w:style w:type="paragraph" w:styleId="NormalIndent">
    <w:name w:val="Normal Indent"/>
    <w:basedOn w:val="Normal"/>
    <w:uiPriority w:val="99"/>
    <w:unhideWhenUsed/>
    <w:rsid w:val="00841CD9"/>
    <w:pPr>
      <w:ind w:left="720"/>
    </w:pPr>
  </w:style>
  <w:style w:type="paragraph" w:styleId="Subtitle">
    <w:name w:val="Subtitle"/>
    <w:basedOn w:val="Normal"/>
    <w:next w:val="Normal"/>
    <w:link w:val="SubtitleChar"/>
    <w:uiPriority w:val="11"/>
    <w:qFormat/>
    <w:rsid w:val="00841CD9"/>
    <w:pPr>
      <w:numPr>
        <w:ilvl w:val="1"/>
      </w:numPr>
      <w:ind w:left="86"/>
    </w:pPr>
    <w:rPr>
      <w:rFonts w:asciiTheme="majorHAnsi" w:hAnsiTheme="majorHAnsi" w:eastAsiaTheme="majorEastAsia" w:cstheme="majorBidi"/>
      <w:i/>
      <w:iCs/>
      <w:color w:val="4F81BD" w:themeColor="accent1"/>
      <w:spacing w:val="15"/>
      <w:sz w:val="24"/>
      <w:szCs w:val="24"/>
    </w:rPr>
  </w:style>
  <w:style w:type="character" w:styleId="SubtitleChar" w:customStyle="true">
    <w:name w:val="Subtitle Char"/>
    <w:basedOn w:val="DefaultParagraphFont"/>
    <w:link w:val="Subtitle"/>
    <w:uiPriority w:val="11"/>
    <w:rsid w:val="00841CD9"/>
    <w:rPr>
      <w:rFonts w:asciiTheme="majorHAnsi" w:hAnsiTheme="majorHAnsi" w:eastAsiaTheme="majorEastAsia" w:cstheme="majorBidi"/>
      <w:i/>
      <w:iCs/>
      <w:color w:val="4F81BD" w:themeColor="accent1"/>
      <w:spacing w:val="15"/>
      <w:sz w:val="24"/>
      <w:szCs w:val="24"/>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heme="majorHAnsi" w:hAnsiTheme="majorHAnsi" w:eastAsiaTheme="majorEastAsia" w:cstheme="majorBidi"/>
      <w:color w:val="17365D" w:themeColor="text2" w:themeShade="BF"/>
      <w:spacing w:val="5"/>
      <w:kern w:val="28"/>
      <w:sz w:val="52"/>
      <w:szCs w:val="52"/>
    </w:rPr>
  </w:style>
  <w:style w:type="character" w:styleId="TitleChar" w:customStyle="true">
    <w:name w:val="Title Char"/>
    <w:basedOn w:val="DefaultParagraphFont"/>
    <w:link w:val="Title"/>
    <w:uiPriority w:val="10"/>
    <w:rsid w:val="00841CD9"/>
    <w:rPr>
      <w:rFonts w:asciiTheme="majorHAnsi" w:hAnsiTheme="majorHAnsi" w:eastAsiaTheme="majorEastAsia" w:cstheme="majorBidi"/>
      <w:color w:val="17365D" w:themeColor="text2" w:themeShade="BF"/>
      <w:spacing w:val="5"/>
      <w:kern w:val="28"/>
      <w:sz w:val="52"/>
      <w:szCs w:val="52"/>
    </w:rPr>
  </w:style>
  <w:style w:type="character" w:styleId="Emphasis">
    <w:name w:val="Emphasis"/>
    <w:basedOn w:val="DefaultParagraphFont"/>
    <w:uiPriority w:val="20"/>
    <w:qFormat/>
    <w:rsid w:val="00D1197D"/>
    <w:rPr>
      <w:i/>
      <w:iCs/>
    </w:rPr>
  </w:style>
  <w:style w:type="character" w:styleId="Hyperlink">
    <w:name w:val="Hyperlink"/>
    <w:basedOn w:val="DefaultParagraphFont"/>
    <w:uiPriority w:val="99"/>
    <w:unhideWhenUsed/>
    <w:rPr>
      <w:color w:val="0000FF" w:themeColor="hyperlink"/>
      <w:u w:val="single"/>
    </w:rPr>
  </w:style>
  <w:style w:type="table" w:styleId="TableGrid">
    <w:name w:val="Table Grid"/>
    <w:basedOn w:val="TableNormal"/>
    <w:uiPriority w:val="59"/>
    <w:pPr>
      <w:spacing w:after="0" w:line="240" w:lineRule="auto"/>
    </w:p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b/>
      <w:bCs/>
      <w:color w:val="4F81BD" w:themeColor="accent1"/>
      <w:sz w:val="18"/>
      <w:szCs w:val="18"/>
    </w:rPr>
  </w:style>
</w:styles>
</file>

<file path=word/_rels/document.xml.rels><?xml version="1.0" encoding="UTF-8"?>
<Relationships xmlns="http://schemas.openxmlformats.org/package/2006/relationships">
   <Relationship Target="styles.xml" Type="http://schemas.openxmlformats.org/officeDocument/2006/relationships/styles" Id="rId1"/>
   <Relationship Target="settings.xml" Type="http://schemas.openxmlformats.org/officeDocument/2006/relationships/settings" Id="rId2"/>
   <Relationship Target="numbering.xml" Type="http://schemas.openxmlformats.org/officeDocument/2006/relationships/numbering" Id="rId3"/>
   <Relationship Target="media/document_image_rId4.png" Type="http://schemas.openxmlformats.org/officeDocument/2006/relationships/image" Id="rId4"/>
   <Relationship Target="media/document_image_rId5.png" Type="http://schemas.openxmlformats.org/officeDocument/2006/relationships/image" Id="rId5"/>
   <Relationship Target="media/document_image_rId6.png" Type="http://schemas.openxmlformats.org/officeDocument/2006/relationships/image" Id="rId6"/>
   <Relationship Target="media/document_image_rId7.png" Type="http://schemas.openxmlformats.org/officeDocument/2006/relationships/image" Id="rId7"/>
</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dcterms="http://purl.org/dc/terms/" xmlns:cp="http://schemas.openxmlformats.org/package/2006/metadata/core-properties" xmlns:dc="http://purl.org/dc/elements/1.1/"/>
</file>