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2025电子信息科学与技术-信息与通信工程本博融通培养方案（领军人才班适用）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具有“通识基础、专业素质、创新思维、实践能力、全球视野、社会责任”综合特质，成为引领未来的社会栋梁与专业精英。通过课堂讲授、学术讲座、科学研究、技术交流、工程实习与社会实践等多层次、多领域、多环节的教学活动，培养学生学会用科学的观点和方法分析问题，把学习知识、观察现象、工程实践与严谨思考紧密结合起来，养成科学思维、辩证思维、系统思维和创新思维。把政治认同、国家意识、道路自信、理论自信、制度自信、文化自信、人格养成等思想政治教育导向融入学业全程教育，加强其家国情怀、科学精神和道德意志品质的培养。具备电子信息科学与技术的基本理论和基本知识，受到严格的科学实验训练和初步的科学研究训练，能在电子信息科学与技术、计算机科学与技术及相关领域和行政部门，从事科学研究、教学、科技开发、产品设计、生产技术或管理工作的电子信息科学与技术高级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3877733"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77733" cy="15748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笔试科目：“统计信号处理”与“现代光通信与光网络”二选一、“数字通信基础”与“机器学习”二选一；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信息与通信工程</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138</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信息与通信工程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信息与通信工程</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555067" cy="1811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18118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1、专业进阶路径：171学分</w:t>
      </w:r>
    </w:p>
    <w:p>
      <w:pPr>
        <w:spacing w:after="0"/>
        <w:ind w:left="0"/>
        <w:jc w:val="left"/>
      </w:pPr>
      <w:r>
        <w:rPr>
          <w:rFonts w:ascii="SimSun" w:hAnsi="SimSun"/>
          <w:b w:val="false"/>
          <w:i w:val="false"/>
          <w:color w:val="000000"/>
          <w:sz w:val="21"/>
        </w:rPr>
        <w:t xml:space="preserve">  本路径学生本博期间必须修满教学计划规定的171学分，包括通识教育课程44学分、专业培养课程69学分、专业进阶I修读18学分（研究生课程不少于9学分）、专业进阶II修读14学分（研究生课程不少于10学分）、融合创新能力培养模块26学分的修读。</w:t>
      </w:r>
    </w:p>
    <w:p>
      <w:pPr>
        <w:spacing w:after="0"/>
        <w:ind w:left="0"/>
        <w:jc w:val="left"/>
      </w:pPr>
      <w:r>
        <w:rPr>
          <w:rFonts w:ascii="SimSun" w:hAnsi="SimSun"/>
          <w:b w:val="false"/>
          <w:i w:val="false"/>
          <w:color w:val="000000"/>
          <w:sz w:val="21"/>
        </w:rPr>
        <w:t xml:space="preserve">  其中，本科学段需要完成138学分（含实践学分不低于34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15学分、融合创新能力培养21学分。</w:t>
      </w:r>
    </w:p>
    <w:p>
      <w:pPr>
        <w:spacing w:after="0"/>
        <w:ind w:left="0"/>
        <w:jc w:val="left"/>
      </w:pPr>
      <w:r>
        <w:rPr>
          <w:rFonts w:ascii="SimSun" w:hAnsi="SimSun"/>
          <w:b w:val="false"/>
          <w:i w:val="false"/>
          <w:color w:val="000000"/>
          <w:sz w:val="21"/>
        </w:rPr>
        <w:t xml:space="preserve"> 2、荣誉项目：177学分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3、跨学科发展路径：186学分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4、电子信息科学与技术+AI人工智能双学士学位项目：214学分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在专业进阶路径或荣誉项目基础上，修读人工智能专业项目课程43学分。具体要求见信息学院-电子信息科学与技术-信息与计算科学（人工智能方向）双学士学位项目培养方案。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本科学段主动退出和转段考核不合格退出本博融通计划的学生，需按照电子信息科学与技术本科“2+X+Y”培养方案修读课程，如达到学士学位要求者授予工学学士学位。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达到博士学位要求者授予信息与通信工程工学博士学位，基本要求如下：</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（1）申请人提出学位论文答辩申请时，必须已修满学校规定的学分数；所有课程成绩合格，其中学位课程平均绩点不低于2.5。</w:t>
      </w:r>
    </w:p>
    <w:p>
      <w:pPr>
        <w:spacing w:after="0"/>
        <w:ind w:left="0"/>
        <w:jc w:val="left"/>
      </w:pPr>
      <w:r>
        <w:rPr>
          <w:rFonts w:ascii="SimSun" w:hAnsi="SimSun"/>
          <w:b w:val="false"/>
          <w:i w:val="false"/>
          <w:color w:val="000000"/>
          <w:sz w:val="21"/>
        </w:rPr>
        <w:t>（2）通过博士生资格考试、通过开题。</w:t>
      </w:r>
    </w:p>
    <w:p>
      <w:pPr>
        <w:spacing w:after="0"/>
        <w:ind w:left="0"/>
        <w:jc w:val="left"/>
      </w:pPr>
      <w:r>
        <w:rPr>
          <w:rFonts w:ascii="SimSun" w:hAnsi="SimSun"/>
          <w:b w:val="false"/>
          <w:i w:val="false"/>
          <w:color w:val="000000"/>
          <w:sz w:val="21"/>
        </w:rPr>
        <w:t>（3）完成培养计划、中期考核。</w:t>
      </w:r>
    </w:p>
    <w:p>
      <w:pPr>
        <w:spacing w:after="0"/>
        <w:ind w:left="0"/>
        <w:jc w:val="left"/>
      </w:pPr>
      <w:r>
        <w:rPr>
          <w:rFonts w:ascii="SimSun" w:hAnsi="SimSun"/>
          <w:b w:val="false"/>
          <w:i w:val="false"/>
          <w:color w:val="000000"/>
          <w:sz w:val="21"/>
        </w:rPr>
        <w:t>（4）完成学位论文，并通过学位论文评阅（包括盲审）要求。</w:t>
      </w:r>
    </w:p>
    <w:p>
      <w:pPr>
        <w:spacing w:after="0"/>
        <w:ind w:left="0"/>
        <w:jc w:val="left"/>
      </w:pPr>
      <w:r>
        <w:rPr>
          <w:rFonts w:ascii="SimSun" w:hAnsi="SimSun"/>
          <w:b w:val="false"/>
          <w:i w:val="false"/>
          <w:color w:val="000000"/>
          <w:sz w:val="21"/>
        </w:rPr>
        <w:t>（5）本学科的博士生通过科研活动，对相对独立完成的课题或取得的阶段性成果进行总结，取得经同行评议认可的创新性成果，如在同行评议的高质量学术期刊上公开发表论文、或其他形式的经过同行评议认可的高质量学术成果，该成果是学位论文主要内容，且满足以下几种情况之一：</w:t>
      </w:r>
    </w:p>
    <w:p>
      <w:pPr>
        <w:spacing w:after="0"/>
        <w:ind w:left="0"/>
        <w:jc w:val="left"/>
      </w:pPr>
      <w:r>
        <w:rPr>
          <w:rFonts w:ascii="SimSun" w:hAnsi="SimSun"/>
          <w:b w:val="false"/>
          <w:i w:val="false"/>
          <w:color w:val="000000"/>
          <w:sz w:val="21"/>
        </w:rPr>
        <w:t xml:space="preserve">  A.博士期间科研成果达到导师要求，且第一作者第一单位发表或录用论文等符合以下条件之一：</w:t>
      </w:r>
    </w:p>
    <w:p>
      <w:pPr>
        <w:spacing w:after="0"/>
        <w:ind w:left="0"/>
        <w:jc w:val="left"/>
      </w:pPr>
      <w:r>
        <w:rPr>
          <w:rFonts w:ascii="SimSun" w:hAnsi="SimSun"/>
          <w:b w:val="false"/>
          <w:i w:val="false"/>
          <w:color w:val="000000"/>
          <w:sz w:val="21"/>
        </w:rPr>
        <w:t xml:space="preserve">    a)1篇1区期刊论文；</w:t>
      </w:r>
    </w:p>
    <w:p>
      <w:pPr>
        <w:spacing w:after="0"/>
        <w:ind w:left="0"/>
        <w:jc w:val="left"/>
      </w:pPr>
      <w:r>
        <w:rPr>
          <w:rFonts w:ascii="SimSun" w:hAnsi="SimSun"/>
          <w:b w:val="false"/>
          <w:i w:val="false"/>
          <w:color w:val="000000"/>
          <w:sz w:val="21"/>
        </w:rPr>
        <w:t xml:space="preserve">    b)1篇A类期刊论文+1篇2-4区期刊论文；</w:t>
      </w:r>
    </w:p>
    <w:p>
      <w:pPr>
        <w:spacing w:after="0"/>
        <w:ind w:left="0"/>
        <w:jc w:val="left"/>
      </w:pPr>
      <w:r>
        <w:rPr>
          <w:rFonts w:ascii="SimSun" w:hAnsi="SimSun"/>
          <w:b w:val="false"/>
          <w:i w:val="false"/>
          <w:color w:val="000000"/>
          <w:sz w:val="21"/>
        </w:rPr>
        <w:t xml:space="preserve">    c)2篇2-3区期刊论文。</w:t>
      </w:r>
    </w:p>
    <w:p>
      <w:pPr>
        <w:spacing w:after="0"/>
        <w:ind w:left="0"/>
        <w:jc w:val="left"/>
      </w:pPr>
      <w:r>
        <w:rPr>
          <w:rFonts w:ascii="SimSun" w:hAnsi="SimSun"/>
          <w:b w:val="false"/>
          <w:i w:val="false"/>
          <w:color w:val="000000"/>
          <w:sz w:val="21"/>
        </w:rPr>
        <w:t xml:space="preserve">  B.从事国家重大工程系统、重大仪器设备或产业核心装备研制等特殊研究工作，博士期间科研成果为该研究做出关键贡献，导师需至少提前一年向学位分委会提出申请，并提供该重大项目验收证明材料，由学位分委员会进行认定。</w:t>
      </w:r>
    </w:p>
    <w:p>
      <w:pPr>
        <w:spacing w:after="0"/>
        <w:ind w:left="0"/>
        <w:jc w:val="left"/>
      </w:pPr>
      <w:r>
        <w:rPr>
          <w:rFonts w:ascii="SimSun" w:hAnsi="SimSun"/>
          <w:b w:val="false"/>
          <w:i w:val="false"/>
          <w:color w:val="000000"/>
          <w:sz w:val="21"/>
        </w:rPr>
        <w:t xml:space="preserve">  C.从事国防或国家安全相关重大科研任务的，因涉密要求而无法公开发表论文，博士期间科研成果为该任务做出关键贡献，导师需至少提前一年向学位分委会提出申请，并提供应用单位的应用证明材料，由学位分委员会进行认定。</w:t>
      </w:r>
    </w:p>
    <w:p>
      <w:pPr>
        <w:spacing w:after="0"/>
        <w:ind w:left="0"/>
        <w:jc w:val="left"/>
      </w:pPr>
      <w:r>
        <w:rPr>
          <w:rFonts w:ascii="SimSun" w:hAnsi="SimSun"/>
          <w:b w:val="false"/>
          <w:i w:val="false"/>
          <w:color w:val="000000"/>
          <w:sz w:val="21"/>
        </w:rPr>
        <w:t xml:space="preserve">  D.博士期间科研成果以主要完成人获得国家科技奖励（排名前十）、省部级一等奖（排名前五）或二等奖（排名前三），博士研究成果为该奖励的关键贡献点，导师需向学位分委会提出申请，并提供相关证明材料，由学位分委员会进行认定。</w:t>
      </w:r>
    </w:p>
    <w:p>
      <w:pPr>
        <w:spacing w:after="0"/>
        <w:ind w:left="0"/>
        <w:jc w:val="left"/>
      </w:pPr>
      <w:r>
        <w:rPr>
          <w:rFonts w:ascii="SimSun" w:hAnsi="SimSun"/>
          <w:b w:val="false"/>
          <w:i w:val="false"/>
          <w:color w:val="000000"/>
          <w:sz w:val="21"/>
        </w:rPr>
        <w:t xml:space="preserve">  E.博士期间作出其他重要学术成果或重大工程应用等特殊贡献，由导师向学位分委员会提出申请，由学位分委员会进行认定。</w:t>
      </w:r>
    </w:p>
    <w:p>
      <w:pPr>
        <w:spacing w:after="0"/>
        <w:ind w:left="0"/>
        <w:jc w:val="left"/>
      </w:pPr>
      <w:r>
        <w:rPr>
          <w:rFonts w:ascii="SimSun" w:hAnsi="SimSun"/>
          <w:b w:val="false"/>
          <w:i w:val="false"/>
          <w:color w:val="000000"/>
          <w:sz w:val="21"/>
        </w:rPr>
        <w:t xml:space="preserve">  注：SCI分区依据投稿当年或发表当年的中科院SCI期刊分区表；A类期刊为中国电子学会于2023年12月发布的《电子技术、通信技术领域高质量科技期刊分级目录》中的T1级期刊或中国光学工程学会于2022年11月发布的《光学工程和光学领域高质量科技期刊分级目录》中的T1级期刊。</w:t>
      </w:r>
    </w:p>
    <w:p>
      <w:pPr>
        <w:spacing w:after="0"/>
        <w:ind w:left="0"/>
        <w:jc w:val="left"/>
      </w:pPr>
      <w:r>
        <w:rPr>
          <w:rFonts w:ascii="SimSun" w:hAnsi="SimSun"/>
          <w:b w:val="false"/>
          <w:i w:val="false"/>
          <w:color w:val="000000"/>
          <w:sz w:val="21"/>
        </w:rPr>
        <w:t>（6）通过学位论文答辩，通过学院学位评定委员会和学校学位评定委员会审议。</w:t>
      </w:r>
    </w:p>
    <w:p>
      <w:pPr>
        <w:spacing w:after="0"/>
        <w:ind w:left="0"/>
        <w:jc w:val="left"/>
      </w:pPr>
    </w:p>
    <w:p>
      <w:pPr>
        <w:spacing w:after="0"/>
        <w:ind w:left="0"/>
        <w:jc w:val="left"/>
      </w:pPr>
      <w:r>
        <w:rPr>
          <w:rFonts w:ascii="SimSun" w:hAnsi="SimSun"/>
          <w:b w:val="false"/>
          <w:i w:val="false"/>
          <w:color w:val="000000"/>
          <w:sz w:val="21"/>
        </w:rPr>
        <w:t>2. 第二学段主动退出和博士生资格考核不合格退出本博融通计划的学生，如达到信息与通信工程硕士学位要求者授予工学硕士学位，具体要求：</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（1）申请人提出学位论文答辩申请时，必须已修满学校规定的学分数；所有课程成绩合格，其中学位课程平均绩点原则上不低于2.5。</w:t>
      </w:r>
    </w:p>
    <w:p>
      <w:pPr>
        <w:spacing w:after="0"/>
        <w:ind w:left="0"/>
        <w:jc w:val="left"/>
      </w:pPr>
      <w:r>
        <w:rPr>
          <w:rFonts w:ascii="SimSun" w:hAnsi="SimSun"/>
          <w:b w:val="false"/>
          <w:i w:val="false"/>
          <w:color w:val="000000"/>
          <w:sz w:val="21"/>
        </w:rPr>
        <w:t>（2）按本培养方案必修环节设置栏目中的要求完成2个学分学术活动和2个学分的实践活动。</w:t>
      </w:r>
    </w:p>
    <w:p>
      <w:pPr>
        <w:spacing w:after="0"/>
        <w:ind w:left="0"/>
        <w:jc w:val="left"/>
      </w:pPr>
      <w:r>
        <w:rPr>
          <w:rFonts w:ascii="SimSun" w:hAnsi="SimSun"/>
          <w:b w:val="false"/>
          <w:i w:val="false"/>
          <w:color w:val="000000"/>
          <w:sz w:val="21"/>
        </w:rPr>
        <w:t>（3）完成硕士学位论文和取得经同行评议认可的创新性成果。本学科的硕士生必须通过科研和技术开发活动，对相对独立完成的课题或取得的阶段性成果进行总结，取得经同行评议认可的创新性研究成果，如在同行评议的较高质量学术期刊上公开发表学术论文、或其它形式的经过同行评议认可的较高质量学术成果，该成果是学位论文主要内容，且满足以下几种情况之一：</w:t>
      </w:r>
    </w:p>
    <w:p>
      <w:pPr>
        <w:spacing w:after="0"/>
        <w:ind w:left="0"/>
        <w:jc w:val="left"/>
      </w:pPr>
      <w:r>
        <w:rPr>
          <w:rFonts w:ascii="SimSun" w:hAnsi="SimSun"/>
          <w:b w:val="false"/>
          <w:i w:val="false"/>
          <w:color w:val="000000"/>
          <w:sz w:val="21"/>
        </w:rPr>
        <w:t xml:space="preserve">  A.硕士期间科研成果达到导师要求，且第一作者（或导师第一学生第二）第一单位发表或录用1篇A类或1-4区期刊论文。</w:t>
      </w:r>
    </w:p>
    <w:p>
      <w:pPr>
        <w:spacing w:after="0"/>
        <w:ind w:left="0"/>
        <w:jc w:val="left"/>
      </w:pPr>
      <w:r>
        <w:rPr>
          <w:rFonts w:ascii="SimSun" w:hAnsi="SimSun"/>
          <w:b w:val="false"/>
          <w:i w:val="false"/>
          <w:color w:val="000000"/>
          <w:sz w:val="21"/>
        </w:rPr>
        <w:t xml:space="preserve">  B.硕士期间作出其他重要学术成果或重大工程应用等特殊贡献，导师向学位分委员会提出申请，由学位分委员会进行认定。</w:t>
      </w:r>
    </w:p>
    <w:p>
      <w:pPr>
        <w:spacing w:after="0"/>
        <w:ind w:left="0"/>
        <w:jc w:val="left"/>
      </w:pPr>
      <w:r>
        <w:rPr>
          <w:rFonts w:ascii="SimSun" w:hAnsi="SimSun"/>
          <w:b w:val="false"/>
          <w:i w:val="false"/>
          <w:color w:val="000000"/>
          <w:sz w:val="21"/>
        </w:rPr>
        <w:t xml:space="preserve">  注：SCI分区依据投稿当年或发表当年的中科院SCI期刊分区表；A类期刊为中国电子学会于2023年12月发布的《电子技术、通信技术领域高质量科技期刊分级目录》中的T1级期刊或中国光学工程学会于2022年11月发布的《光学工程和光学领域高质量科技期刊分级目录》中的T1级期刊。</w:t>
      </w:r>
    </w:p>
    <w:p>
      <w:pPr>
        <w:spacing w:after="0"/>
        <w:ind w:left="0"/>
        <w:jc w:val="left"/>
      </w:pPr>
      <w:r>
        <w:rPr>
          <w:rFonts w:ascii="SimSun" w:hAnsi="SimSun"/>
          <w:b w:val="false"/>
          <w:i w:val="false"/>
          <w:color w:val="000000"/>
          <w:sz w:val="21"/>
        </w:rPr>
        <w:t>（4）通过学位论文评阅和学位论文答辩，通过学院学位评定委员会和学校学位评定委员会审议。</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电子和通信核心课程为基础建立了本研融通的专业核心课程体系，以学科领域为横、课程内容梯度为纵建立了难度逐级提升的本研融通的专业进阶课程体系。为鼓励学生挑战自我，设立了7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4775200" cy="2743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75200" cy="27432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通识教育核心课程（28学分）</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本研融通课程请在研究生课程类别一栏注明：学位课、选修课，该栏空白默认为本科生课程。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715"/>
        <w:gridCol w:w="719"/>
        <w:gridCol w:w="719"/>
        <w:gridCol w:w="702"/>
        <w:gridCol w:w="1649"/>
        <w:gridCol w:w="918"/>
        <w:gridCol w:w="697"/>
        <w:gridCol w:w="724"/>
        <w:gridCol w:w="788"/>
        <w:gridCol w:w="1246"/>
        <w:gridCol w:w="2757"/>
      </w:tblGrid>
      <w:tr>
        <w:trPr>
          <w:trHeight w:val="96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学分</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周学时</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修读要求</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含实践学分</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含美育学分</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含劳动教育总学时</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开课学期</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研究生课程类别</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中国马克思主义与当代 </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9</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学位课</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96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0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必选6学分(每模块≤1门)</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见核心课程七大模块课程列表（回避第5模块）</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88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8400"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75"/>
        <w:gridCol w:w="723"/>
        <w:gridCol w:w="724"/>
        <w:gridCol w:w="609"/>
        <w:gridCol w:w="1268"/>
        <w:gridCol w:w="934"/>
        <w:gridCol w:w="709"/>
        <w:gridCol w:w="737"/>
        <w:gridCol w:w="794"/>
        <w:gridCol w:w="1268"/>
        <w:gridCol w:w="2893"/>
      </w:tblGrid>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必考</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72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4</w:t>
            </w:r>
          </w:p>
        </w:tc>
        <w:tc>
          <w:tcPr>
            <w:tcW w:w="60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4</w:t>
            </w:r>
          </w:p>
        </w:tc>
        <w:tc>
          <w:tcPr>
            <w:tcW w:w="126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见大学外语课程列表</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72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见人工智能课程列表</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建议无编程基础者必修</w:t>
            </w:r>
          </w:p>
        </w:tc>
      </w:tr>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8</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见体育课程列表</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见军事理论</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见军事技能</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见专项教育课程心理健康教育部分</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总学时不少于32学时</w:t>
            </w:r>
          </w:p>
        </w:tc>
      </w:tr>
      <w:tr>
        <w:trPr>
          <w:trHeight w:val="6000"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见专项教育课程实验室安全教育部分</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（69学分,本科要求60学分）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（30学分,本科要求30学分）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（39学分,本科要求30学分）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要求修读39学分（选修荣誉课程学分数每门加1分），其中研究生基础课9学分。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可选荣誉课程《高频与射频电子学（H）》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选荣誉课程《信号与通信系统（H）》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可选荣誉课程《信息论（H）》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可选荣誉课程《数字信号处理（H）》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可选荣誉课程《计算机原理与体系结构（H）》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通信原理B</w:t>
            </w:r>
            <w:r>
              <w:br/>
            </w:r>
            <w:r>
              <w:br/>
            </w:r>
            <w:r>
              <w:rPr>
                <w:rFonts w:ascii="SimSun" w:hAnsi="SimSun"/>
                <w:b w:val="false"/>
                <w:i w:val="false"/>
                <w:color w:val="000000"/>
                <w:sz w:val="21"/>
              </w:rPr>
              <w:t>Principles of Communications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可选荣誉课程《通信原理（H）》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统计信号处理</w:t>
            </w:r>
            <w:r>
              <w:br/>
            </w:r>
            <w:r>
              <w:br/>
            </w:r>
            <w:r>
              <w:rPr>
                <w:rFonts w:ascii="SimSun" w:hAnsi="SimSun"/>
                <w:b w:val="false"/>
                <w:i w:val="false"/>
                <w:color w:val="000000"/>
                <w:sz w:val="21"/>
              </w:rPr>
              <w:t>Statistical Signal Processing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学位基础课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数字通信基础</w:t>
            </w:r>
            <w:r>
              <w:br/>
            </w:r>
            <w:r>
              <w:br/>
            </w:r>
            <w:r>
              <w:rPr>
                <w:rFonts w:ascii="SimSun" w:hAnsi="SimSun"/>
                <w:b w:val="false"/>
                <w:i w:val="false"/>
                <w:color w:val="000000"/>
                <w:sz w:val="21"/>
              </w:rPr>
              <w:t>Fundanmentals of Digital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本研学位基础课（五选二）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高等电磁场理论</w:t>
            </w:r>
            <w:r>
              <w:br/>
            </w:r>
            <w:r>
              <w:br/>
            </w:r>
            <w:r>
              <w:rPr>
                <w:rFonts w:ascii="SimSun" w:hAnsi="SimSun"/>
                <w:b w:val="false"/>
                <w:i w:val="false"/>
                <w:color w:val="000000"/>
                <w:sz w:val="21"/>
              </w:rPr>
              <w:t>Advanced Electromagnetic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本研学位基础课（五选二）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最优化理论与方法</w:t>
            </w:r>
            <w:r>
              <w:br/>
            </w:r>
            <w:r>
              <w:br/>
            </w:r>
            <w:r>
              <w:rPr>
                <w:rFonts w:ascii="SimSun" w:hAnsi="SimSun"/>
                <w:b w:val="false"/>
                <w:i w:val="false"/>
                <w:color w:val="000000"/>
                <w:sz w:val="21"/>
              </w:rPr>
              <w:t>Optimization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本研学位基础课（五选二）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本研学位基础课（五选二）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矩阵分析</w:t>
            </w:r>
            <w:r>
              <w:br/>
            </w:r>
            <w:r>
              <w:br/>
            </w:r>
            <w:r>
              <w:rPr>
                <w:rFonts w:ascii="SimSun" w:hAnsi="SimSun"/>
                <w:b w:val="false"/>
                <w:i w:val="false"/>
                <w:color w:val="000000"/>
                <w:sz w:val="21"/>
              </w:rPr>
              <w:t>Matrix Analysis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本研学位基础课（五选二）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包括专业进阶路径、荣誉项目、跨学科发展路径、博硕双学位项目，要求在院系专业导师指导下选择1条发展路径，按路径要求修读课程。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修满32学分。要求在本专业专业进阶模块I修读18学分（研究生课程不少于9学分）、专业进阶模块II修读14学分（研究生课程不少于10学分）。专业进阶模块I若有多修读学分，其可替代专业进阶模块II学分。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（32学分,本科要求15学分）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（18学分,本科要求9学分）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研究生学位专业课修读不少于9学分。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可编程器件与硬件描述语言</w:t>
            </w:r>
            <w:r>
              <w:br/>
            </w:r>
            <w:r>
              <w:br/>
            </w:r>
            <w:r>
              <w:rPr>
                <w:rFonts w:ascii="SimSun" w:hAnsi="SimSun"/>
                <w:b w:val="false"/>
                <w:i w:val="false"/>
                <w:color w:val="000000"/>
                <w:sz w:val="21"/>
              </w:rPr>
              <w:t>Programmable Logic Device and Hardware Description Language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w:t>
            </w:r>
            <w:r>
              <w:br/>
            </w:r>
            <w:r>
              <w:br/>
            </w:r>
            <w:r>
              <w:rPr>
                <w:rFonts w:ascii="SimSun" w:hAnsi="SimSun"/>
                <w:b w:val="false"/>
                <w:i w:val="false"/>
                <w:color w:val="000000"/>
                <w:sz w:val="21"/>
              </w:rPr>
              <w:t xml:space="preserve">Electromagnetic Field and Wave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可选荣誉课程《数据结构与算法设计（H）》</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研究生学位专业课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现代无线通信</w:t>
            </w:r>
            <w:r>
              <w:br/>
            </w:r>
            <w:r>
              <w:br/>
            </w:r>
            <w:r>
              <w:rPr>
                <w:rFonts w:ascii="SimSun" w:hAnsi="SimSun"/>
                <w:b w:val="false"/>
                <w:i w:val="false"/>
                <w:color w:val="000000"/>
                <w:sz w:val="21"/>
              </w:rPr>
              <w:t>Modern Wireless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现代光通信与光网络</w:t>
            </w:r>
            <w:r>
              <w:br/>
            </w:r>
            <w:r>
              <w:br/>
            </w:r>
            <w:r>
              <w:rPr>
                <w:rFonts w:ascii="SimSun" w:hAnsi="SimSun"/>
                <w:b w:val="false"/>
                <w:i w:val="false"/>
                <w:color w:val="000000"/>
                <w:sz w:val="21"/>
              </w:rPr>
              <w:t>Modern Optical Communication and Optical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信息论与编码</w:t>
            </w:r>
            <w:r>
              <w:br/>
            </w:r>
            <w:r>
              <w:br/>
            </w:r>
            <w:r>
              <w:rPr>
                <w:rFonts w:ascii="SimSun" w:hAnsi="SimSun"/>
                <w:b w:val="false"/>
                <w:i w:val="false"/>
                <w:color w:val="000000"/>
                <w:sz w:val="21"/>
              </w:rPr>
              <w:t>Information Theory and Coding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现代雷达原理</w:t>
            </w:r>
            <w:r>
              <w:br/>
            </w:r>
            <w:r>
              <w:br/>
            </w:r>
            <w:r>
              <w:rPr>
                <w:rFonts w:ascii="SimSun" w:hAnsi="SimSun"/>
                <w:b w:val="false"/>
                <w:i w:val="false"/>
                <w:color w:val="000000"/>
                <w:sz w:val="21"/>
              </w:rPr>
              <w:t>Principles of Modern Radar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微波遥感理论</w:t>
            </w:r>
            <w:r>
              <w:br/>
            </w:r>
            <w:r>
              <w:br/>
            </w:r>
            <w:r>
              <w:rPr>
                <w:rFonts w:ascii="SimSun" w:hAnsi="SimSun"/>
                <w:b w:val="false"/>
                <w:i w:val="false"/>
                <w:color w:val="000000"/>
                <w:sz w:val="21"/>
              </w:rPr>
              <w:t xml:space="preserve">Microwave Remote Sensing Theory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复杂网络系统理论与应用</w:t>
            </w:r>
            <w:r>
              <w:br/>
            </w:r>
            <w:r>
              <w:br/>
            </w:r>
            <w:r>
              <w:rPr>
                <w:rFonts w:ascii="SimSun" w:hAnsi="SimSun"/>
                <w:b w:val="false"/>
                <w:i w:val="false"/>
                <w:color w:val="000000"/>
                <w:sz w:val="21"/>
              </w:rPr>
              <w:t>Complex network system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计算电磁学</w:t>
            </w:r>
            <w:r>
              <w:br/>
            </w:r>
            <w:r>
              <w:br/>
            </w:r>
            <w:r>
              <w:rPr>
                <w:rFonts w:ascii="SimSun" w:hAnsi="SimSun"/>
                <w:b w:val="false"/>
                <w:i w:val="false"/>
                <w:color w:val="000000"/>
                <w:sz w:val="21"/>
              </w:rPr>
              <w:t>Computational Electromagnetics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学位专业课</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研究生专业选修课修读不少于10学分(可用最低学分要求外的学位基础课和专业课替代）。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电工实验</w:t>
            </w:r>
            <w:r>
              <w:br/>
            </w:r>
            <w:r>
              <w:br/>
            </w:r>
            <w:r>
              <w:rPr>
                <w:rFonts w:ascii="SimSun" w:hAnsi="SimSun"/>
                <w:b w:val="false"/>
                <w:i w:val="false"/>
                <w:color w:val="000000"/>
                <w:sz w:val="21"/>
              </w:rPr>
              <w:t>Electronic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电子系统设计</w:t>
            </w:r>
            <w:r>
              <w:br/>
            </w:r>
            <w:r>
              <w:br/>
            </w:r>
            <w:r>
              <w:rPr>
                <w:rFonts w:ascii="SimSun" w:hAnsi="SimSun"/>
                <w:b w:val="false"/>
                <w:i w:val="false"/>
                <w:color w:val="000000"/>
                <w:sz w:val="21"/>
              </w:rPr>
              <w:t>Electronic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多媒体技术</w:t>
            </w:r>
            <w:r>
              <w:br/>
            </w:r>
            <w:r>
              <w:br/>
            </w:r>
            <w:r>
              <w:rPr>
                <w:rFonts w:ascii="SimSun" w:hAnsi="SimSun"/>
                <w:b w:val="false"/>
                <w:i w:val="false"/>
                <w:color w:val="000000"/>
                <w:sz w:val="21"/>
              </w:rPr>
              <w:t>Multimedia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卫星与移动通信B</w:t>
            </w:r>
            <w:r>
              <w:br/>
            </w:r>
            <w:r>
              <w:br/>
            </w:r>
            <w:r>
              <w:rPr>
                <w:rFonts w:ascii="SimSun" w:hAnsi="SimSun"/>
                <w:b w:val="false"/>
                <w:i w:val="false"/>
                <w:color w:val="000000"/>
                <w:sz w:val="21"/>
              </w:rPr>
              <w:t>Satellite and Mobile Communication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智能系统设计</w:t>
            </w:r>
            <w:r>
              <w:br/>
            </w:r>
            <w:r>
              <w:br/>
            </w:r>
            <w:r>
              <w:rPr>
                <w:rFonts w:ascii="SimSun" w:hAnsi="SimSun"/>
                <w:b w:val="false"/>
                <w:i w:val="false"/>
                <w:color w:val="000000"/>
                <w:sz w:val="21"/>
              </w:rPr>
              <w:t>Intelligent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群体智能</w:t>
            </w:r>
            <w:r>
              <w:br/>
            </w:r>
            <w:r>
              <w:br/>
            </w:r>
            <w:r>
              <w:rPr>
                <w:rFonts w:ascii="SimSun" w:hAnsi="SimSun"/>
                <w:b w:val="false"/>
                <w:i w:val="false"/>
                <w:color w:val="000000"/>
                <w:sz w:val="21"/>
              </w:rPr>
              <w:t>Swarm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智联网络系统</w:t>
            </w:r>
            <w:r>
              <w:br/>
            </w:r>
            <w:r>
              <w:br/>
            </w:r>
            <w:r>
              <w:rPr>
                <w:rFonts w:ascii="SimSun" w:hAnsi="SimSun"/>
                <w:b w:val="false"/>
                <w:i w:val="false"/>
                <w:color w:val="000000"/>
                <w:sz w:val="21"/>
              </w:rPr>
              <w:t>Networking Systems of AI</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研究生选修课</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微波理论与天线技术</w:t>
            </w:r>
            <w:r>
              <w:br/>
            </w:r>
            <w:r>
              <w:br/>
            </w:r>
            <w:r>
              <w:rPr>
                <w:rFonts w:ascii="SimSun" w:hAnsi="SimSun"/>
                <w:b w:val="false"/>
                <w:i w:val="false"/>
                <w:color w:val="000000"/>
                <w:sz w:val="21"/>
              </w:rPr>
              <w:t>Microwave Theory and Antenna Techniques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数据分析与算法设计</w:t>
            </w:r>
            <w:r>
              <w:br/>
            </w:r>
            <w:r>
              <w:br/>
            </w:r>
            <w:r>
              <w:rPr>
                <w:rFonts w:ascii="SimSun" w:hAnsi="SimSun"/>
                <w:b w:val="false"/>
                <w:i w:val="false"/>
                <w:color w:val="000000"/>
                <w:sz w:val="21"/>
              </w:rPr>
              <w:t>Data Analysis and Algorithm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69</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量子信息导论</w:t>
            </w:r>
            <w:r>
              <w:br/>
            </w:r>
            <w:r>
              <w:br/>
            </w:r>
            <w:r>
              <w:rPr>
                <w:rFonts w:ascii="SimSun" w:hAnsi="SimSun"/>
                <w:b w:val="false"/>
                <w:i w:val="false"/>
                <w:color w:val="000000"/>
                <w:sz w:val="21"/>
              </w:rPr>
              <w:t>Introduction to Quantum Information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雷达成像和目标识别</w:t>
            </w:r>
            <w:r>
              <w:br/>
            </w:r>
            <w:r>
              <w:br/>
            </w:r>
            <w:r>
              <w:rPr>
                <w:rFonts w:ascii="SimSun" w:hAnsi="SimSun"/>
                <w:b w:val="false"/>
                <w:i w:val="false"/>
                <w:color w:val="000000"/>
                <w:sz w:val="21"/>
              </w:rPr>
              <w:t>Radar Imaging and Target Recognition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图像信息处理理论与方法</w:t>
            </w:r>
            <w:r>
              <w:br/>
            </w:r>
            <w:r>
              <w:br/>
            </w:r>
            <w:r>
              <w:rPr>
                <w:rFonts w:ascii="SimSun" w:hAnsi="SimSun"/>
                <w:b w:val="false"/>
                <w:i w:val="false"/>
                <w:color w:val="000000"/>
                <w:sz w:val="21"/>
              </w:rPr>
              <w:t>Image Information Processing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空间遥感信息理论</w:t>
            </w:r>
            <w:r>
              <w:br/>
            </w:r>
            <w:r>
              <w:br/>
            </w:r>
            <w:r>
              <w:rPr>
                <w:rFonts w:ascii="SimSun" w:hAnsi="SimSun"/>
                <w:b w:val="false"/>
                <w:i w:val="false"/>
                <w:color w:val="000000"/>
                <w:sz w:val="21"/>
              </w:rPr>
              <w:t>Space Remote Sensing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通信系统优化</w:t>
            </w:r>
            <w:r>
              <w:br/>
            </w:r>
            <w:r>
              <w:br/>
            </w:r>
            <w:r>
              <w:rPr>
                <w:rFonts w:ascii="SimSun" w:hAnsi="SimSun"/>
                <w:b w:val="false"/>
                <w:i w:val="false"/>
                <w:color w:val="000000"/>
                <w:sz w:val="21"/>
              </w:rPr>
              <w:t>Optimization of Communication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毫米波与太赫兹通信技术</w:t>
            </w:r>
            <w:r>
              <w:br/>
            </w:r>
            <w:r>
              <w:br/>
            </w:r>
            <w:r>
              <w:rPr>
                <w:rFonts w:ascii="SimSun" w:hAnsi="SimSun"/>
                <w:b w:val="false"/>
                <w:i w:val="false"/>
                <w:color w:val="000000"/>
                <w:sz w:val="21"/>
              </w:rPr>
              <w:t>Millimeter wave and Terahertz communication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量子通信理论与技术</w:t>
            </w:r>
            <w:r>
              <w:br/>
            </w:r>
            <w:r>
              <w:br/>
            </w:r>
            <w:r>
              <w:rPr>
                <w:rFonts w:ascii="SimSun" w:hAnsi="SimSun"/>
                <w:b w:val="false"/>
                <w:i w:val="false"/>
                <w:color w:val="000000"/>
                <w:sz w:val="21"/>
              </w:rPr>
              <w:t>Quantum communication theory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网络动力学</w:t>
            </w:r>
            <w:r>
              <w:br/>
            </w:r>
            <w:r>
              <w:br/>
            </w:r>
            <w:r>
              <w:rPr>
                <w:rFonts w:ascii="SimSun" w:hAnsi="SimSun"/>
                <w:b w:val="false"/>
                <w:i w:val="false"/>
                <w:color w:val="000000"/>
                <w:sz w:val="21"/>
              </w:rPr>
              <w:t>Dynamics on and of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现代通信系统</w:t>
            </w:r>
            <w:r>
              <w:br/>
            </w:r>
            <w:r>
              <w:br/>
            </w:r>
            <w:r>
              <w:rPr>
                <w:rFonts w:ascii="SimSun" w:hAnsi="SimSun"/>
                <w:b w:val="false"/>
                <w:i w:val="false"/>
                <w:color w:val="000000"/>
                <w:sz w:val="21"/>
              </w:rPr>
              <w:t>Modern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网络安全设计</w:t>
            </w:r>
            <w:r>
              <w:br/>
            </w:r>
            <w:r>
              <w:br/>
            </w:r>
            <w:r>
              <w:rPr>
                <w:rFonts w:ascii="SimSun" w:hAnsi="SimSun"/>
                <w:b w:val="false"/>
                <w:i w:val="false"/>
                <w:color w:val="000000"/>
                <w:sz w:val="21"/>
              </w:rPr>
              <w:t>Theory and Design of Network Security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研究生选修课</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Lasers and Integrated Photonics for Optical Communications</w:t>
            </w:r>
            <w:r>
              <w:br/>
            </w:r>
            <w:r>
              <w:br/>
            </w:r>
            <w:r>
              <w:rPr>
                <w:rFonts w:ascii="SimSun" w:hAnsi="SimSun"/>
                <w:b w:val="false"/>
                <w:i w:val="false"/>
                <w:color w:val="000000"/>
                <w:sz w:val="21"/>
              </w:rPr>
              <w:t>Lasers and Integrated Photonics for Optical Communications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研究生选修课</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修读荣誉课程不低于24学分（不少于6门课），且满足专业进阶模块I修读18学分（研究生课程不少于9学分）、专业进阶模块II修读14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47学分。要求在本专业进阶模块I修读18学分（研究生课程不少于9学分）、专业进阶模块II修读14学分（研究生课程不少于10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47学分。要求在本专业进阶模块I修读18学分（研究生课程不少于9学分）、专业进阶模块II修读14学分（研究生课程不少于10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信息与通信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电子设计竞赛、全国大学生光电设计竞赛、“挑战杯”全国大学生课外学术科技作品竞赛、中国大学生工程实践与创新能力大赛等）。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高频电路实验</w:t>
            </w:r>
            <w:r>
              <w:br/>
            </w:r>
            <w:r>
              <w:br/>
            </w:r>
            <w:r>
              <w:rPr>
                <w:rFonts w:ascii="SimSun" w:hAnsi="SimSun"/>
                <w:b w:val="false"/>
                <w:i w:val="false"/>
                <w:color w:val="000000"/>
                <w:sz w:val="21"/>
              </w:rPr>
              <w:t>High Frequency Circuit Experiment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通信与信息系统实验A</w:t>
            </w:r>
            <w:r>
              <w:br/>
            </w:r>
            <w:r>
              <w:br/>
            </w:r>
            <w:r>
              <w:rPr>
                <w:rFonts w:ascii="SimSun" w:hAnsi="SimSun"/>
                <w:b w:val="false"/>
                <w:i w:val="false"/>
                <w:color w:val="000000"/>
                <w:sz w:val="21"/>
              </w:rPr>
              <w:t>Communication and Information Systems Experiment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学术前沿介绍</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产业技术前沿介绍</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研究生专业论文写作训练</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至少2学分）(在“电磁波信息前沿进展”（EST70032），“卫星遥感进展”（EIE50004），“空间通信进展”（ICE50020），“新一代移动通信技术”（ICE70004）中任选一门)，期末时由课程负责老师对学生进行考核，并给出成绩。成绩为D-以上为通过。
2.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1.研究生学段必须完成2个学期全岗的本科生课程助教工作，指导老师评价为合格方为通过。
2.依托华为、赛力斯等企业（复旦大学-华为“智能基座”产教融合协同育人基地，复旦大学光本位科技未来计算硬件与系统校企联合实验室、复旦大学信息学院-千寻位置网络有限公司教学实习实训基地）等建立实习（实训）机制，以寒暑期训练营等形式开展产学交替培养。</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原则上应到具有世界一流水平的境外机构进行不少于一学期的学习、研究或联合培养。需参加至少1次高水平国际会议并作报告。</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在第12学期完成，见信息学院中期考核实施细则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