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2025级口腔医学-临床口腔医学本博融通“2+X+Y”教学培养方案（学博）</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培养德智体美劳全面发展，具有扎实的理论基础，熟练的专业技能，掌握现代口腔医学科学理论和先进技术，具备良好的职业素养、沟通能力、团队精神，且具有科学研究和创新能力、国际视野和发展潜能的口腔医学领军人才。本专业学生主要学习口腔医学及相关学科的核心理论和前沿知识，接受口腔疾病诊断、治疗、预防及健康管理等方面的系统训练，接受系统而规范的临床训练与科研训练相结合的全面培养。要求学生全面掌握自然科学、人文社会科学及医学伦理知识，具备良好的思想品德、职业操守和社会责任感，具备独立分析解决口腔医学复杂问题的能力，形成严谨的科研思维，能够将临床实践与科学研究有机结合。毕业后能够胜任口腔临床医疗、教学、科研、预防和学术交流等工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10</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4年级末</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1.品德操行良好，无违反学术诚信、医德医风不良记录；
2.课程修读和绩点要求：根据培养方案完成不少于本科阶段规定应修学分的75%，且累计学业绩点不低于3.0；
3.根据《复旦大学口腔医学院本研融通项目本科学段学术要求》，达到本博融通项目的学术成果要求。</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资格考试的内容涵盖本门学科专业应掌握的基础理论知识、专业知识、学科前沿及相关学科知识，同时涵盖开展论文研究工作所需的综述能力、创新能力、分析和解决问题的能力。
资格考试的方式，以笔试为主，结合口试（或答辩）、实验操作等形式。
在第12学期结束前进行博士生资格考核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口腔医学（五年制）</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根据复旦大学及各研究生阶段培养单位相关制度流程执行确定</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3年级春季学期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学业成绩（50%）：已修读课程绩点的加权平均值；
2. 综合面试包括面试（30%）和材料评审（20%）：
（1）科研创新能力：参与大学生创新创业训练项目、科研课题研究、学术论文发表、专利获得等
（2）专业实践能力：临床技能竞赛获奖、专业技能证书等
（3）综合素质表现：社会实践、志愿服务、学生工作、荣誉获奖、团队合作、表达与沟通等
（4）国际交流能力：海外交流学习经历、国际学术会议参与、外语水平证书等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209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97.5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55.5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通过本科毕业理论考和操作考</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临床口腔医学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825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2533" cy="1574800"/>
                    </a:xfrm>
                    <a:prstGeom prst="rect">
                      <a:avLst/>
                    </a:prstGeom>
                  </pic:spPr>
                </pic:pic>
              </a:graphicData>
            </a:graphic>
          </wp:inline>
        </w:drawing>
      </w:r>
    </w:p>
    <w:p>
      <w:pPr>
        <w:spacing w:after="0"/>
        <w:ind w:left="0"/>
        <w:jc w:val="left"/>
      </w:pPr>
      <w:r>
        <w:rPr>
          <w:rFonts w:ascii="SimSun" w:hAnsi="SimSun"/>
          <w:b/>
          <w:i w:val="false"/>
          <w:color w:val="000000"/>
          <w:sz w:val="21"/>
        </w:rPr>
        <w:t>1、本博融通专业进阶路径：233学分</w:t>
      </w:r>
      <w:r>
        <w:br/>
      </w:r>
      <w:r>
        <w:br/>
      </w:r>
      <w:r>
        <w:rPr>
          <w:rFonts w:ascii="SimSun" w:hAnsi="SimSun"/>
          <w:b w:val="false"/>
          <w:i w:val="false"/>
          <w:color w:val="000000"/>
          <w:sz w:val="21"/>
        </w:rPr>
        <w:t xml:space="preserve">  本路径学生本博期间必须修满教学计划规定的233学分，包括通识教育课程42学分、专业培养课程97.5学分、专业进阶模块Ⅰ12学分、专业进阶模块Ⅱ（本研通用课程）18学分，融合创新能力模块63.5学分的修读。</w:t>
      </w:r>
      <w:r>
        <w:br/>
      </w:r>
      <w:r>
        <w:br/>
      </w:r>
      <w:r>
        <w:rPr>
          <w:rFonts w:ascii="SimSun" w:hAnsi="SimSun"/>
          <w:b w:val="false"/>
          <w:i w:val="false"/>
          <w:color w:val="000000"/>
          <w:sz w:val="21"/>
        </w:rPr>
        <w:t xml:space="preserve">  其中，本科学段需要完成209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97.5学分、专业进阶模块I修读12学分、融合创新能力模块59.5学分。</w:t>
      </w:r>
      <w:r>
        <w:br/>
      </w:r>
      <w:r>
        <w:br/>
      </w:r>
      <w:r>
        <w:rPr>
          <w:rFonts w:ascii="SimSun" w:hAnsi="SimSun"/>
          <w:b/>
          <w:i w:val="false"/>
          <w:color w:val="000000"/>
          <w:sz w:val="21"/>
        </w:rPr>
        <w:t>2、跨学科发展路径：248学分</w:t>
      </w:r>
      <w:r>
        <w:br/>
      </w:r>
      <w:r>
        <w:br/>
      </w:r>
      <w:r>
        <w:rPr>
          <w:rFonts w:ascii="SimSun" w:hAnsi="SimSun"/>
          <w:b w:val="false"/>
          <w:i w:val="false"/>
          <w:color w:val="000000"/>
          <w:sz w:val="21"/>
        </w:rPr>
        <w:t xml:space="preserve">  在专业进阶路径基础上，修读1个跨学科微专业（学程）15学分（可在研究生学段修读），具体要求见教务处网站学程实施方案。</w:t>
      </w:r>
      <w:r>
        <w:br/>
      </w:r>
      <w:r>
        <w:br/>
      </w:r>
      <w:r>
        <w:rPr>
          <w:rFonts w:ascii="SimSun" w:hAnsi="SimSun"/>
          <w:b w:val="false"/>
          <w:i w:val="false"/>
          <w:color w:val="000000"/>
          <w:sz w:val="21"/>
        </w:rPr>
        <w:t xml:space="preserve">  其中本科学段需要完成209学分，包括通识教育课程40学分、专业培养课程97.5学分、专业进阶模块I修读12学分、融合创新能力模块59.5学分。</w:t>
      </w:r>
    </w:p>
    <w:p>
      <w:pPr>
        <w:spacing w:after="0"/>
        <w:ind w:left="0"/>
        <w:jc w:val="left"/>
      </w:pPr>
      <w:r>
        <w:rPr>
          <w:rFonts w:ascii="SimSun" w:hAnsi="SimSun"/>
          <w:b/>
          <w:i w:val="false"/>
          <w:color w:val="000000"/>
          <w:sz w:val="24"/>
        </w:rPr>
        <w:t xml:space="preserve">
       六.    学位要求
      </w:t>
      </w:r>
    </w:p>
    <w:p>
      <w:pPr>
        <w:spacing w:after="0"/>
        <w:ind w:left="0"/>
        <w:jc w:val="left"/>
      </w:pPr>
      <w:r>
        <w:rPr>
          <w:b/>
          <w:i w:val="false"/>
          <w:color w:val="000000"/>
          <w:sz w:val="21"/>
        </w:rPr>
        <w:t>（一）本科学位</w:t>
      </w:r>
      <w:r>
        <w:br/>
      </w:r>
      <w:r>
        <w:br/>
      </w:r>
      <w:r>
        <w:rPr>
          <w:b w:val="false"/>
          <w:i w:val="false"/>
          <w:color w:val="000000"/>
          <w:sz w:val="21"/>
        </w:rPr>
        <w:t xml:space="preserve">1. 五年级结束时，如达到学士学位要求者授予医学学士学位。  </w:t>
      </w:r>
      <w:r>
        <w:br/>
      </w:r>
      <w:r>
        <w:br/>
      </w:r>
      <w:r>
        <w:rPr>
          <w:b w:val="false"/>
          <w:i w:val="false"/>
          <w:color w:val="000000"/>
          <w:sz w:val="21"/>
        </w:rPr>
        <w:t>（1）修满规定的学分，通过毕业理论考和毕业操作考，达到本科教学培养方案规定的各项要求。</w:t>
      </w:r>
      <w:r>
        <w:br/>
      </w:r>
      <w:r>
        <w:br/>
      </w:r>
      <w:r>
        <w:rPr>
          <w:b w:val="false"/>
          <w:i w:val="false"/>
          <w:color w:val="000000"/>
          <w:sz w:val="21"/>
        </w:rPr>
        <w:t>（2）以符合学生毕业时所在专业教学培养方案规定的所有课程的有效成绩为准计算平均绩点，且此平均绩点大于或等于2.0。</w:t>
      </w:r>
      <w:r>
        <w:br/>
      </w:r>
      <w:r>
        <w:br/>
      </w:r>
      <w:r>
        <w:rPr>
          <w:b w:val="false"/>
          <w:i w:val="false"/>
          <w:color w:val="000000"/>
          <w:sz w:val="21"/>
        </w:rPr>
        <w:t>2. 本科学段主动退出和转段考核不合格退出本博融通计划的学生，需按照口腔医学本科培养方案修读课程，如达到学士学位要求者授予医学学士学位。</w:t>
      </w:r>
    </w:p>
    <w:p>
      <w:pPr>
        <w:spacing w:after="0"/>
        <w:ind w:left="0"/>
        <w:jc w:val="left"/>
      </w:pPr>
      <w:r>
        <w:rPr>
          <w:b/>
          <w:i w:val="false"/>
          <w:color w:val="000000"/>
          <w:sz w:val="21"/>
        </w:rPr>
        <w:t>（二）研究生学位</w:t>
      </w:r>
      <w:r>
        <w:br/>
      </w:r>
      <w:r>
        <w:br/>
      </w:r>
      <w:r>
        <w:rPr>
          <w:b w:val="false"/>
          <w:i w:val="false"/>
          <w:color w:val="000000"/>
          <w:sz w:val="21"/>
        </w:rPr>
        <w:t>1、    研究生学段达到博士学位要求者授予医学博士学位。</w:t>
      </w:r>
      <w:r>
        <w:br/>
      </w:r>
      <w:r>
        <w:br/>
      </w:r>
      <w:r>
        <w:rPr>
          <w:b w:val="false"/>
          <w:i w:val="false"/>
          <w:color w:val="000000"/>
          <w:sz w:val="21"/>
        </w:rPr>
        <w:t>（1）必须已修满学校规定的学分，所有修读课程成绩合格，其中研究生学位课程平均绩点不低于 2.5。</w:t>
      </w:r>
      <w:r>
        <w:br/>
      </w:r>
      <w:r>
        <w:br/>
      </w:r>
      <w:r>
        <w:rPr>
          <w:b w:val="false"/>
          <w:i w:val="false"/>
          <w:color w:val="000000"/>
          <w:sz w:val="21"/>
        </w:rPr>
        <w:t>（2）博士学位论文反映研究生掌握坚实的基础理论和先进的实验技能，表明该生具有独立从事本专业研究工作的能力；论文应有系统性和完整性，具有一定工作量，研究成果应该具有创新内容，对本学科的学术发展具有重要的理论意义或有一定的应用价值。</w:t>
      </w:r>
      <w:r>
        <w:br/>
      </w:r>
      <w:r>
        <w:br/>
      </w:r>
      <w:r>
        <w:rPr>
          <w:b w:val="false"/>
          <w:i w:val="false"/>
          <w:color w:val="000000"/>
          <w:sz w:val="21"/>
        </w:rPr>
        <w:t>（3）经临床医学学位评定分委员会认定达到博士学位授予要求。原则上，每项成果只能供一名申请人申请学位使用。</w:t>
      </w:r>
      <w:r>
        <w:br/>
      </w:r>
      <w:r>
        <w:br/>
      </w:r>
      <w:r>
        <w:rPr>
          <w:b w:val="false"/>
          <w:i w:val="false"/>
          <w:color w:val="000000"/>
          <w:sz w:val="21"/>
        </w:rPr>
        <w:t>1.学术论文：以第一作者、复旦大学（相应招生培养单位）为第一署名单位发表与学位论文相关的论著（不含综述、Case Report、Meta-Analysis或不进行临床问题研究的生物信息学论文），所发表杂志须为国内A类、JCR二区、中科院二区或以上期刊。如论著发表于Nature、Science、Cell、Lancet、NEJM、BMJ、JAMA等学位评定分委员会认可的重要学术期刊，由研究生及导师申请说明，经所在培养单位评议推荐，学位评定分委会审议认定，可供2-3名（共同）第一作者研究生申请学位使用。</w:t>
      </w:r>
      <w:r>
        <w:br/>
      </w:r>
      <w:r>
        <w:br/>
      </w:r>
      <w:r>
        <w:rPr>
          <w:b w:val="false"/>
          <w:i w:val="false"/>
          <w:color w:val="000000"/>
          <w:sz w:val="21"/>
        </w:rPr>
        <w:t>2.发明专利：以复旦大学（相应招生培养单位）为第一完成单位、研究生本人为完成人之一取得与学位论文相关的发明专利且实现转化，实际到账金额不少于15万元，并经所在培养单位评议推荐，学位评定分委员会审议认定。</w:t>
      </w:r>
      <w:r>
        <w:br/>
      </w:r>
      <w:r>
        <w:br/>
      </w:r>
      <w:r>
        <w:rPr>
          <w:b w:val="false"/>
          <w:i w:val="false"/>
          <w:color w:val="000000"/>
          <w:sz w:val="21"/>
        </w:rPr>
        <w:t>3.科研成果奖：以复旦大学（相应招生培养单位）为第一完成单位、研究生本人为主要完成人取得与学位论文相关的政府科研成果奖励，省部级科研成果一等奖（排名前5）或二等奖（排名前3），并经所在培养单位评议推荐，学位评定分委员会审议认定。</w:t>
      </w:r>
      <w:r>
        <w:br/>
      </w:r>
      <w:r>
        <w:br/>
      </w:r>
      <w:r>
        <w:rPr>
          <w:b w:val="false"/>
          <w:i w:val="false"/>
          <w:color w:val="000000"/>
          <w:sz w:val="21"/>
        </w:rPr>
        <w:t>4.其他学位评定分委员会认可的创新性成果。</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b/>
          <w:i w:val="false"/>
          <w:color w:val="000000"/>
          <w:sz w:val="21"/>
        </w:rPr>
        <w:t>1.课程体系</w:t>
      </w:r>
      <w:r>
        <w:br/>
      </w:r>
      <w:r>
        <w:br/>
      </w:r>
      <w:r>
        <w:rPr>
          <w:b w:val="false"/>
          <w:i w:val="false"/>
          <w:color w:val="000000"/>
          <w:sz w:val="21"/>
        </w:rPr>
        <w:t xml:space="preserve">    课程体系由通识教育、大类基础课、专业核心课（包括医学基础课、口腔专业课）、进阶课程、本研通用课程、融合创新课程模块构成，遵循“通识教育-学科基础-专业核心-研究创新”的体系设计理念，夯实专业基础，通专融合，渐次递进建立专业教育体系。进阶课程为不同年级学生拓展学习设置的相关课程，介绍学科内涵和前沿，交叉应用，引导学生在“做中学”，由感性认识深入理性认知，加深对复杂高阶的临床问题的理解并尝试解决。学生在本科学段通过本研通用课程模块提前完成部分研究生课程修读，有利于加深对口腔医学二、三级学科认识和科研方法学的掌握和应用。</w:t>
      </w:r>
    </w:p>
    <w:p>
      <w:pPr>
        <w:spacing w:after="0"/>
        <w:ind w:left="0"/>
        <w:jc w:val="left"/>
      </w:pPr>
      <w:r>
        <w:rPr>
          <w:b/>
          <w:i w:val="false"/>
          <w:color w:val="000000"/>
          <w:sz w:val="21"/>
        </w:rPr>
        <w:t>2.融合创新培养</w:t>
      </w:r>
      <w:r>
        <w:br/>
      </w:r>
      <w:r>
        <w:br/>
      </w:r>
      <w:r>
        <w:rPr>
          <w:b w:val="false"/>
          <w:i w:val="false"/>
          <w:color w:val="000000"/>
          <w:sz w:val="21"/>
        </w:rPr>
        <w:t xml:space="preserve">  建立临床-学术双螺旋递进的全周期科研训练体系，为低年级本科生配备学术导师，实行实验室/课题组轮转，鼓励师生共创，通过大创项目等学生科创活动引导学生由临床实践出发，提出科学问题，制定科研计划，申报和完成课题研究，达到本科学术创新要求。研究生学段实施临床-科研双导师制。</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（42学分,本科要求40学分）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（21学分,本科要求19学分）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本博融通项目研究生阶段必修DOCT810004中国马克思主义与当代（2学分），该课程为研究生学位课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w:t>
            </w:r>
            <w:r>
              <w:br/>
            </w:r>
            <w:r>
              <w:br/>
            </w:r>
            <w:r>
              <w:rPr>
                <w:rFonts w:ascii="SimSun" w:hAnsi="SimSun"/>
                <w:b w:val="false"/>
                <w:i w:val="false"/>
                <w:color w:val="000000"/>
                <w:sz w:val="21"/>
              </w:rPr>
              <w:t>Marxism in China and Contemporary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（14学分,本科要求14学分）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要求至少修读14学分，英语分级考试B、Y级学生修读16学分。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(7)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（97.5学分,本科要求97.5学分）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（79.5学分,本科要求79.5学分）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要求修读79.5学分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口腔修复学新进展</w:t>
            </w:r>
            <w:r>
              <w:br/>
            </w:r>
            <w:r>
              <w:br/>
            </w:r>
            <w:r>
              <w:rPr>
                <w:rFonts w:ascii="SimSun" w:hAnsi="SimSun"/>
                <w:b w:val="false"/>
                <w:i w:val="false"/>
                <w:color w:val="000000"/>
                <w:sz w:val="21"/>
              </w:rPr>
              <w:t>Recent Advances in Prosthodontics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STOM60006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修满30学分。要求在本专业专业进阶模块I修读12学分，专业进阶模块Ⅱ（本研通用课程模块）修读18学分。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专业进阶路径Ⅰ</w:t>
      </w:r>
      <w:r>
        <w:rPr>
          <w:rFonts w:ascii="SimSun" w:hAnsi="SimSun"/>
          <w:b/>
          <w:i w:val="false"/>
          <w:color w:val="000000"/>
          <w:sz w:val="21"/>
        </w:rPr>
        <w:t>（12学分,本科要求12学分）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4"/>
        <w:gridCol w:w="2724"/>
        <w:gridCol w:w="680"/>
        <w:gridCol w:w="680"/>
        <w:gridCol w:w="950"/>
        <w:gridCol w:w="1538"/>
        <w:gridCol w:w="681"/>
        <w:gridCol w:w="679"/>
        <w:gridCol w:w="679"/>
        <w:gridCol w:w="680"/>
        <w:gridCol w:w="951"/>
        <w:gridCol w:w="1358"/>
      </w:tblGrid>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A组必修6分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B组选修6分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 Ⅱ（本研通用课程模块）</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学位基础课 （修读不少于4门，至少8学分课程）</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3"/>
        <w:gridCol w:w="800"/>
        <w:gridCol w:w="800"/>
        <w:gridCol w:w="1121"/>
        <w:gridCol w:w="1776"/>
        <w:gridCol w:w="800"/>
        <w:gridCol w:w="800"/>
        <w:gridCol w:w="800"/>
        <w:gridCol w:w="809"/>
        <w:gridCol w:w="1122"/>
        <w:gridCol w:w="1603"/>
      </w:tblGrid>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基础医学研究入门</w:t>
            </w:r>
            <w:r>
              <w:br/>
            </w:r>
            <w:r>
              <w:br/>
            </w:r>
            <w:r>
              <w:rPr>
                <w:rFonts w:ascii="SimSun" w:hAnsi="SimSun"/>
                <w:b w:val="false"/>
                <w:i w:val="false"/>
                <w:color w:val="000000"/>
                <w:sz w:val="21"/>
              </w:rPr>
              <w:t>Introduction to Basic Medical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人工智能在临床医学研究中的实际应用</w:t>
            </w:r>
            <w:r>
              <w:br/>
            </w:r>
            <w:r>
              <w:br/>
            </w:r>
            <w:r>
              <w:rPr>
                <w:rFonts w:ascii="SimSun" w:hAnsi="SimSun"/>
                <w:b w:val="false"/>
                <w:i w:val="false"/>
                <w:color w:val="000000"/>
                <w:sz w:val="21"/>
              </w:rPr>
              <w:t>Application of AI in Medical Clinical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基础医学进展系列讲座</w:t>
            </w:r>
            <w:r>
              <w:br/>
            </w:r>
            <w:r>
              <w:br/>
            </w:r>
            <w:r>
              <w:rPr>
                <w:rFonts w:ascii="SimSun" w:hAnsi="SimSun"/>
                <w:b w:val="false"/>
                <w:i w:val="false"/>
                <w:color w:val="000000"/>
                <w:sz w:val="21"/>
              </w:rPr>
              <w:t>Lectures on the Progress in Basic Medical Sciences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现代免疫学</w:t>
            </w:r>
            <w:r>
              <w:br/>
            </w:r>
            <w:r>
              <w:br/>
            </w:r>
            <w:r>
              <w:rPr>
                <w:rFonts w:ascii="SimSun" w:hAnsi="SimSun"/>
                <w:b w:val="false"/>
                <w:i w:val="false"/>
                <w:color w:val="000000"/>
                <w:sz w:val="21"/>
              </w:rPr>
              <w:t>Current Immunology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MED80021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肿瘤精准医学</w:t>
            </w:r>
            <w:r>
              <w:br/>
            </w:r>
            <w:r>
              <w:br/>
            </w:r>
            <w:r>
              <w:rPr>
                <w:rFonts w:ascii="SimSun" w:hAnsi="SimSun"/>
                <w:b w:val="false"/>
                <w:i w:val="false"/>
                <w:color w:val="000000"/>
                <w:sz w:val="21"/>
              </w:rPr>
              <w:t>Precision Medcine Of Cancer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MED80047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口腔临床科研方法与研究设计</w:t>
            </w:r>
            <w:r>
              <w:br/>
            </w:r>
            <w:r>
              <w:br/>
            </w:r>
            <w:r>
              <w:rPr>
                <w:rFonts w:ascii="SimSun" w:hAnsi="SimSun"/>
                <w:b w:val="false"/>
                <w:i w:val="false"/>
                <w:color w:val="000000"/>
                <w:sz w:val="21"/>
              </w:rPr>
              <w:t>Clinical research methods and design of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STOM70003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口腔分子病理学A</w:t>
            </w:r>
            <w:r>
              <w:br/>
            </w:r>
            <w:r>
              <w:br/>
            </w:r>
            <w:r>
              <w:rPr>
                <w:rFonts w:ascii="SimSun" w:hAnsi="SimSun"/>
                <w:b w:val="false"/>
                <w:i w:val="false"/>
                <w:color w:val="000000"/>
                <w:sz w:val="21"/>
              </w:rPr>
              <w:t>Oral Molecular Pathology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STOM70004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流行病学方法</w:t>
            </w:r>
            <w:r>
              <w:br/>
            </w:r>
            <w:r>
              <w:br/>
            </w:r>
            <w:r>
              <w:rPr>
                <w:rFonts w:ascii="SimSun" w:hAnsi="SimSun"/>
                <w:b w:val="false"/>
                <w:i w:val="false"/>
                <w:color w:val="000000"/>
                <w:sz w:val="21"/>
              </w:rPr>
              <w:t>Epidemiologic Methods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PHPM60083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临床医学多元统计分析</w:t>
            </w:r>
            <w:r>
              <w:br/>
            </w:r>
            <w:r>
              <w:br/>
            </w:r>
            <w:r>
              <w:rPr>
                <w:rFonts w:ascii="SimSun" w:hAnsi="SimSun"/>
                <w:b w:val="false"/>
                <w:i w:val="false"/>
                <w:color w:val="000000"/>
                <w:sz w:val="21"/>
              </w:rPr>
              <w:t>Multivariate Statistical Data Analysis in Clinical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PHPM60090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口腔医学前沿</w:t>
            </w:r>
            <w:r>
              <w:br/>
            </w:r>
            <w:r>
              <w:br/>
            </w:r>
            <w:r>
              <w:rPr>
                <w:rFonts w:ascii="SimSun" w:hAnsi="SimSun"/>
                <w:b w:val="false"/>
                <w:i w:val="false"/>
                <w:color w:val="000000"/>
                <w:sz w:val="21"/>
              </w:rPr>
              <w:t>Advances in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STOM60001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口腔生物学</w:t>
            </w:r>
            <w:r>
              <w:br/>
            </w:r>
            <w:r>
              <w:br/>
            </w:r>
            <w:r>
              <w:rPr>
                <w:rFonts w:ascii="SimSun" w:hAnsi="SimSun"/>
                <w:b w:val="false"/>
                <w:i w:val="false"/>
                <w:color w:val="000000"/>
                <w:sz w:val="21"/>
              </w:rPr>
              <w:t>Oral Biology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STOM60002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学位专业课 （修读不少于1门，至少2学分课程）</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3"/>
        <w:gridCol w:w="800"/>
        <w:gridCol w:w="800"/>
        <w:gridCol w:w="1121"/>
        <w:gridCol w:w="1776"/>
        <w:gridCol w:w="800"/>
        <w:gridCol w:w="800"/>
        <w:gridCol w:w="800"/>
        <w:gridCol w:w="809"/>
        <w:gridCol w:w="1122"/>
        <w:gridCol w:w="1603"/>
      </w:tblGrid>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专业（二）</w:t>
            </w:r>
            <w:r>
              <w:br/>
            </w:r>
            <w:r>
              <w:br/>
            </w:r>
            <w:r>
              <w:rPr>
                <w:rFonts w:ascii="SimSun" w:hAnsi="SimSun"/>
                <w:b w:val="false"/>
                <w:i w:val="false"/>
                <w:color w:val="000000"/>
                <w:sz w:val="21"/>
              </w:rPr>
              <w:t>Major Course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MED80034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专业（二）</w:t>
            </w:r>
            <w:r>
              <w:br/>
            </w:r>
            <w:r>
              <w:br/>
            </w:r>
            <w:r>
              <w:rPr>
                <w:rFonts w:ascii="SimSun" w:hAnsi="SimSun"/>
                <w:b w:val="false"/>
                <w:i w:val="false"/>
                <w:color w:val="000000"/>
                <w:sz w:val="21"/>
              </w:rPr>
              <w:t>Major Course Ⅱ</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STOM80002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口腔医院开课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专业选修课 （至少修读8学分）</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修满45学分。要求在本专业专业进阶模块I修读12学分、专业进阶模块 Ⅱ（本研通用课程模块）修读18学分、1个非本专业独立开设的微专业（学程）15学分。学程课程具体要求见教务处网站学程实施方案。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临床-学术双螺旋”培养模式，通过本科学段的内、外科实习和口腔医学专业实习，以及研究生学段口腔二级学科轮转，循序渐进地强化学生的知识学习和技能训练，促进知识转化，逐步深化系统性诊疗思维的建立，培养多学科思维和复杂病例诊疗能力，精进高阶临床技能，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二、三年级设立《口腔医学科研思维和能力训练》课程，以课题组和实验室轮转作为课程形式，引导学生产生科研志趣，逐步形成创新思维，并掌握常见的科研方法和技术。
       </w:t>
      </w:r>
      <w:r>
        <w:br/>
      </w:r>
      <w:r>
        <w:rPr>
          <w:rFonts w:ascii="SimSun" w:hAnsi="SimSun"/>
          <w:b w:val="false"/>
          <w:i w:val="false"/>
          <w:color w:val="000000"/>
          <w:sz w:val="21"/>
        </w:rPr>
        <w:t xml:space="preserve">
       </w:t>
      </w:r>
      <w:r>
        <w:br/>
      </w:r>
      <w:r>
        <w:rPr>
          <w:rFonts w:ascii="SimSun" w:hAnsi="SimSun"/>
          <w:b w:val="false"/>
          <w:i w:val="false"/>
          <w:color w:val="000000"/>
          <w:sz w:val="21"/>
        </w:rPr>
        <w:t xml:space="preserve">3.要求学生在本科学段达到相应的学术创新要求，包括完成1项大学生科创项目，或参与学业或技能竞赛，发表论文和申请专利等。详见《复旦大学口腔医学院本研融通项目本科阶段学术创新要求》。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口腔医学科研思维和能力训练Ⅰ</w:t>
            </w:r>
            <w:r>
              <w:br/>
            </w:r>
            <w:r>
              <w:br/>
            </w:r>
            <w:r>
              <w:rPr>
                <w:rFonts w:ascii="SimSun" w:hAnsi="SimSun"/>
                <w:b w:val="false"/>
                <w:i w:val="false"/>
                <w:color w:val="000000"/>
                <w:sz w:val="21"/>
              </w:rPr>
              <w:t>Scientific Research Training in StomatologyⅠ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口腔医学科研思维和能力训练Ⅱ</w:t>
            </w:r>
            <w:r>
              <w:br/>
            </w:r>
            <w:r>
              <w:br/>
            </w:r>
            <w:r>
              <w:rPr>
                <w:rFonts w:ascii="SimSun" w:hAnsi="SimSun"/>
                <w:b w:val="false"/>
                <w:i w:val="false"/>
                <w:color w:val="000000"/>
                <w:sz w:val="21"/>
              </w:rPr>
              <w:t>Scientific Research Training in StomatologyⅡ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本科学术创新训练，必修，本科学段须按《复旦大学口腔医学院本研融通项目本科阶段学术创新要求》完成课题研究等学术创新要求。本培养环节含复芏计划（FDUROP）等本科生学术研究资助计划。</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开题是博士生确定学位论文选题、明确研究计划的创新性和可行性的培养环节，原则上在13   学期由学科组织开题，并以公开答辩形式进行。专家对选题的意义、科学性、可行性以及具体研究思路、实验方法等进行论证，做出通过或不通过的决定。开题结果为“不通过”的博士生，可在 3 个月后申请重新开题。重新开题仍“不通过”者，予以退学。未经批准不按要求参加开题的博士生，当次开题结果按“不通过”评定。开题工作具体要求参见《复旦大学专业学位研究生培养工作规定（试行）》。</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是在本科直接攻博生完成学位核心课程学习后、正式开展博士学位论文工作前，研究生培养单位组织实施的学科综合性水平考试，是考核博士生是否具有开展创新性研究工作能力的重要环节。资格考试的内容涵盖本门学科专业应掌握的基础理论知识、专业知识、学科前沿及相关学科知识，同时涵盖开展论文研究工作所需的综述能力、创新能力、分析和解决问题的能力。资格考试的方式，应以笔试为主，结合口试（或答辩）、实验操作等其他形式。研究生在第四学期结束前进行博士生资格考核，只有通过博士资格考试才能正式开始博士论文研究工作。
资格考试结果评定等级分为“通过”和“不通过”，对首次参加资格考试不通过的博士生可在一年内申请一次补考，补考成绩仍不合格者，其考试结果评定为“不通过”。考试结果评定为“不通过”的博士生予以退学，其中本科直接攻博生可提出申请，经导师、研究生培养单位和学校审批同意后可转为攻读硕士学位。未经培养单位批准不参加资格考试的博士生，考试结果按“不通过”评定。</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期考核是对照培养方案要求，对博士生学位论文进展情况进行全面检查，并对其后续学业安排提出改进要求的培养环节。本科直接攻读博士生在第七学期末且开题通过满6个月进行中期考核，主要考核学生自学位论文开题以来在相关科研、论文撰写方面的进展情况；后续研究的安排以及预期进度情况。考核方式为研究生培养单位统一组织汇报答辩。中期考核结果评定等级分为“通过”、“不通过”。首次参加中期考核结果评定为“不通过”的博士生，可在 3 个月之后申请一次重新考核；重新考核仍“不通过”的本科直接攻博生可提出申请，经导师、研究生培养单位和学校审批同意后可转为攻读硕士学位，否则予以退学。因故不能参加中期考核的博士生应至少提前两周提出延缓考核的申请，获得导师、所在研究生培养单位同意后参加下一批次考核，如无特殊情况最多只能申请一次延缓考核。未经培养单位批准不参加中期考核的博士生，考核结果按“不通过”评定。开题工作具体要求参见《复旦大学专业学位研究生培养工作规定（试行）》。</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生修完规定的课程且成绩合格、学位论文主题工作基本完成后可提出预答辩申请，经导师和导师指导小组同意后参加学位论文预答辩。学位论文预审结果分“同意修改后送审”、“暂缓送审”和“不同意送审”。若出现预审专家提出“暂缓送审”的情形，博士生需对学位论文作为期 3 个月以上的修改后，重新提交论文预审申请。若一半以上预审专家认为“不同意送审”，博士生需对学位论文作为期 6 个月以上的修改后，重新提交论文预审申请；也可申请结业或退学，结业后不得申请转毕业。本科直接攻博生若一半以上预审专家认 为“不同意送审”，但预审专家一致认为学位论文达到申请硕士学位要求，可提出申请，经导师、研究生培养单位和学校审批同意后可转为申请硕士学位。</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要求每名学生在第四学期开始前参加与所学专业相关的学术报告或前沿讲座不少于15场次；做2次反映学科前沿动态的文献报告或科研进展报告；参加一次国内或国际学术会议。</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要求每名学生在第14、15学期，有三到四周的时间参加课程教学、本科生实习带教或临床相关科室的医疗观摩活动。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