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2025哲学(艺术哲学方向)专业本科培养方案(强基计划适用)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哲学类专业以马克思主义理论与方法为指导，培养德、智、体、美、劳全面发展，有一定哲学理论素养和专业基础知识，有进一步培养潜质的哲学专门人才，以及能在国家机关、 文教事业、 新闻出版、企业等部门从事实际工作的应用型、复合型人才。哲学类专业包括哲学专业、哲学（国学方向）专业、哲学（科学哲学与逻辑学方向）专业、哲学（艺术哲学方向）专业和宗教学专业。哲学类专业侧重培养学生综合掌握和运用哲学各个二级学科理论知识的能力，要求学生能够准确理解马克思主义哲学、中国哲学和西方哲学的理论和历史；具备人文科学、社会科学、自然科学的相关基础知识；掌握哲学的基本研究方法和相应的社会调查能力；熟练地掌握一门外语；具有较强的思维能力、表达能力、社会活动能力和初步的科学研究能力，以及一定的管理能力。艺术哲学系科依托完整的哲学一级学科优势，主要从哲学角度推进对于艺术本身的真切反思、建设性批评、理论建构和策略性推广，促进美学学科下沉，培养相关艺术理论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4544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54400" cy="1354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40"/>
        <w:gridCol w:w="2051"/>
        <w:gridCol w:w="2051"/>
        <w:gridCol w:w="1680"/>
        <w:gridCol w:w="1060"/>
        <w:gridCol w:w="980"/>
        <w:gridCol w:w="2"/>
        <w:gridCol w:w="5"/>
        <w:gridCol w:w="1062"/>
        <w:gridCol w:w="1243"/>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62" w:type="dxa"/>
            <w:tcBorders>
              <w:bottom w:val="single" w:color="000000" w:sz="8"/>
              <w:right w:val="single" w:color="000000" w:sz="8"/>
            </w:tcBorders>
            <w:tcMar>
              <w:top w:w="15" w:type="dxa"/>
              <w:left w:w="15" w:type="dxa"/>
              <w:bottom w:w="15" w:type="dxa"/>
              <w:right w:w="15" w:type="dxa"/>
            </w:tcMar>
            <w:vAlign w:val="center"/>
          </w:tcPr>
          <w:p/>
        </w:tc>
        <w:tc>
          <w:tcPr>
            <w:tcW w:w="1243"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0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哲学（艺术哲学方向）</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980267"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80267" cy="13716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1、专业进阶路径：139学分</w:t>
      </w:r>
      <w:r>
        <w:br/>
      </w:r>
      <w:r>
        <w:br/>
      </w: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45学分，专业培养课程55学分，融合创新能力培养7学分，专业进阶模块I 18学分，专业进阶模块II 14学分。</w:t>
      </w:r>
      <w:r>
        <w:br/>
      </w:r>
      <w:r>
        <w:br/>
      </w:r>
      <w:r>
        <w:rPr>
          <w:rFonts w:ascii="SimSun" w:hAnsi="SimSun"/>
          <w:b w:val="false"/>
          <w:i w:val="false"/>
          <w:color w:val="000000"/>
          <w:sz w:val="21"/>
        </w:rPr>
        <w:t>2、本科荣誉项目：139学分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 </w:t>
      </w:r>
      <w:r>
        <w:br/>
      </w:r>
      <w:r>
        <w:br/>
      </w:r>
      <w:r>
        <w:rPr>
          <w:rFonts w:ascii="SimSun" w:hAnsi="SimSun"/>
          <w:b w:val="false"/>
          <w:i w:val="false"/>
          <w:color w:val="000000"/>
          <w:sz w:val="21"/>
        </w:rPr>
        <w:t>3、哲学+AI双学士学位项目：170学分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本科学位                                        </w:t>
      </w:r>
      <w:r>
        <w:br/>
      </w:r>
      <w:r>
        <w:br/>
      </w:r>
      <w:r>
        <w:rPr>
          <w:rFonts w:ascii="SimSun" w:hAnsi="SimSun"/>
          <w:b w:val="false"/>
          <w:i w:val="false"/>
          <w:color w:val="000000"/>
          <w:sz w:val="21"/>
        </w:rPr>
        <w:t xml:space="preserve"> 4年级结束时，如达到学士学位要求者授予哲学学士学位。                          </w:t>
      </w:r>
      <w:r>
        <w:br/>
      </w:r>
      <w:r>
        <w:br/>
      </w:r>
      <w:r>
        <w:rPr>
          <w:rFonts w:ascii="SimSun" w:hAnsi="SimSun"/>
          <w:b w:val="false"/>
          <w:i w:val="false"/>
          <w:color w:val="000000"/>
          <w:sz w:val="21"/>
        </w:rPr>
        <w:t xml:space="preserve">（1）修满规定的学分，达到本科教学培养方案规定的各项要求。                    </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 xml:space="preserve">（3）“强基计划”学生入校后按照“2+X”培养方案中的“荣誉项目”路径修读各类课程。“强基计划”学生实行动态进出制，每学年根据学习成绩进行考核，不合格的学生将转出“强基计划”（详见《复旦大学哲学学院“强基计划”学生管理办法（试行）》）。“强基计划”学生在大一结束时，按照学生意愿可在哲学专业内部各方向进行分流，专业分流后按照各专业方向荣誉项目实施方案进行培养。“强基计划”同学经考核合格，可100%入选本学院“优秀大学生夏令营”，参加推荐免试攻读研究生选拔；满足相关要求的“强基计划”学生将按规定确保获得优先推荐；特别优秀的学生可进入直博生通道；“强基计划”学生可在大四学年修读本专业研究生基础课程，如在本校深造，则按照复旦大学研究生院规定计入研究生成绩。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8786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78667" cy="16086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要求修读41学分（部分课程学分可用荣誉课程学分替换），课程设置如下：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艺术史理论与方法</w:t>
            </w:r>
            <w:r>
              <w:br/>
            </w:r>
            <w:r>
              <w:br/>
            </w:r>
            <w:r>
              <w:rPr>
                <w:rFonts w:ascii="SimSun" w:hAnsi="SimSun"/>
                <w:b w:val="false"/>
                <w:i w:val="false"/>
                <w:color w:val="000000"/>
                <w:sz w:val="21"/>
              </w:rPr>
              <w:t>Theory and Methodology of History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西方艺术史（上）</w:t>
            </w:r>
            <w:r>
              <w:br/>
            </w:r>
            <w:r>
              <w:br/>
            </w:r>
            <w:r>
              <w:rPr>
                <w:rFonts w:ascii="SimSun" w:hAnsi="SimSun"/>
                <w:b w:val="false"/>
                <w:i w:val="false"/>
                <w:color w:val="000000"/>
                <w:sz w:val="21"/>
              </w:rPr>
              <w:t>History of Western Art（I）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西方艺术史（下）</w:t>
            </w:r>
            <w:r>
              <w:br/>
            </w:r>
            <w:r>
              <w:br/>
            </w:r>
            <w:r>
              <w:rPr>
                <w:rFonts w:ascii="SimSun" w:hAnsi="SimSun"/>
                <w:b w:val="false"/>
                <w:i w:val="false"/>
                <w:color w:val="000000"/>
                <w:sz w:val="21"/>
              </w:rPr>
              <w:t>History of Western Art（II）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美学与艺术哲学基础</w:t>
            </w:r>
            <w:r>
              <w:br/>
            </w:r>
            <w:r>
              <w:br/>
            </w:r>
            <w:r>
              <w:rPr>
                <w:rFonts w:ascii="SimSun" w:hAnsi="SimSun"/>
                <w:b w:val="false"/>
                <w:i w:val="false"/>
                <w:color w:val="000000"/>
                <w:sz w:val="21"/>
              </w:rPr>
              <w:t>Introduction to Aesthetics and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w:t>
            </w:r>
            <w:r>
              <w:br/>
            </w:r>
            <w:r>
              <w:br/>
            </w:r>
            <w:r>
              <w:rPr>
                <w:rFonts w:ascii="SimSun" w:hAnsi="SimSun"/>
                <w:b w:val="false"/>
                <w:i w:val="false"/>
                <w:color w:val="000000"/>
                <w:sz w:val="21"/>
              </w:rPr>
              <w:t>Contemporary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西方马克思主义哲学</w:t>
            </w:r>
            <w:r>
              <w:br/>
            </w:r>
            <w:r>
              <w:br/>
            </w:r>
            <w:r>
              <w:rPr>
                <w:rFonts w:ascii="SimSun" w:hAnsi="SimSun"/>
                <w:b w:val="false"/>
                <w:i w:val="false"/>
                <w:color w:val="000000"/>
                <w:sz w:val="21"/>
              </w:rPr>
              <w:t>Western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中国艺术史（上）</w:t>
            </w:r>
            <w:r>
              <w:br/>
            </w:r>
            <w:r>
              <w:br/>
            </w:r>
            <w:r>
              <w:rPr>
                <w:rFonts w:ascii="SimSun" w:hAnsi="SimSun"/>
                <w:b w:val="false"/>
                <w:i w:val="false"/>
                <w:color w:val="000000"/>
                <w:sz w:val="21"/>
              </w:rPr>
              <w:t>Art of China I (From the Pre-historic Time to the Tang)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中国艺术史（下）</w:t>
            </w:r>
            <w:r>
              <w:br/>
            </w:r>
            <w:r>
              <w:br/>
            </w:r>
            <w:r>
              <w:rPr>
                <w:rFonts w:ascii="SimSun" w:hAnsi="SimSun"/>
                <w:b w:val="false"/>
                <w:i w:val="false"/>
                <w:color w:val="000000"/>
                <w:sz w:val="21"/>
              </w:rPr>
              <w:t>Art of China II (From Northern Song to Qing)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艺术哲学原著选读</w:t>
            </w:r>
            <w:r>
              <w:br/>
            </w:r>
            <w:r>
              <w:br/>
            </w:r>
            <w:r>
              <w:rPr>
                <w:rFonts w:ascii="SimSun" w:hAnsi="SimSun"/>
                <w:b w:val="false"/>
                <w:i w:val="false"/>
                <w:color w:val="000000"/>
                <w:sz w:val="21"/>
              </w:rPr>
              <w:t>Selected Readings in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美学原著选读</w:t>
            </w:r>
            <w:r>
              <w:br/>
            </w:r>
            <w:r>
              <w:br/>
            </w:r>
            <w:r>
              <w:rPr>
                <w:rFonts w:ascii="SimSun" w:hAnsi="SimSun"/>
                <w:b w:val="false"/>
                <w:i w:val="false"/>
                <w:color w:val="000000"/>
                <w:sz w:val="21"/>
              </w:rPr>
              <w:t>Selected Readings in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艺术理论原著选读</w:t>
            </w:r>
            <w:r>
              <w:br/>
            </w:r>
            <w:r>
              <w:br/>
            </w:r>
            <w:r>
              <w:rPr>
                <w:rFonts w:ascii="SimSun" w:hAnsi="SimSun"/>
                <w:b w:val="false"/>
                <w:i w:val="false"/>
                <w:color w:val="000000"/>
                <w:sz w:val="21"/>
              </w:rPr>
              <w:t>Selected Original Works of Art Theory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按照“荣誉项目路径”修读各类课程，修满32学分。要求在"专业进阶课程I"课程中修读至少18学分，在"专业进阶课程II"课程中修读至少14学分（其中须选修1门专业外语，不限方向，限选1门）。同时修读荣誉课程的学分数不低于24学分，即在哲学学院开设的14门荣誉课程中至少修读6门。
       </w:t>
      </w:r>
      <w:r>
        <w:br/>
      </w:r>
      <w:r>
        <w:rPr>
          <w:rFonts w:ascii="SimSun" w:hAnsi="SimSun"/>
          <w:b w:val="false"/>
          <w:i w:val="false"/>
          <w:color w:val="000000"/>
          <w:sz w:val="21"/>
        </w:rPr>
        <w:t xml:space="preserve">
       </w:t>
      </w:r>
      <w:r>
        <w:br/>
      </w:r>
      <w:r>
        <w:rPr>
          <w:rFonts w:ascii="SimSun" w:hAnsi="SimSun"/>
          <w:b w:val="false"/>
          <w:i w:val="false"/>
          <w:color w:val="000000"/>
          <w:sz w:val="21"/>
        </w:rPr>
        <w:t xml:space="preserve">  荣誉课程的学分可按本院制订的课程替代方案进行学分转换与认定，但学分转换与认定只作为本科毕业资格审核的依据，成绩单则如实记载学生所修课程与成绩，不作变更。学生修读荣誉课程的学分如超过用于替换的《普通培养方案》中相应课程的学分可转换成任意选修学分，但成绩不作变更。 荣誉项目课程设置和修读要求请见哲学学院本科“荣誉项目”实施方案。下载地址：https://jwc.fudan.edu.cn/（复旦大学教务处）-专业培养-常用文档。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修满32学分，要求在"专业进阶课程I"课程中修读至少18学分，在"专业进阶课程II"课程中修读至少14学分（其中须选修1门专业外语，不限方向，限选1门）。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要求修读18学分，以下每组至少选修1门，其余可在院内其他专业方向"专业进阶课程I"自由选择。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艺术与科技</w:t>
            </w:r>
            <w:r>
              <w:br/>
            </w:r>
            <w:r>
              <w:br/>
            </w:r>
            <w:r>
              <w:rPr>
                <w:rFonts w:ascii="SimSun" w:hAnsi="SimSun"/>
                <w:b w:val="false"/>
                <w:i w:val="false"/>
                <w:color w:val="000000"/>
                <w:sz w:val="21"/>
              </w:rPr>
              <w:t>Art, Science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图像与观念</w:t>
            </w:r>
            <w:r>
              <w:br/>
            </w:r>
            <w:r>
              <w:br/>
            </w:r>
            <w:r>
              <w:rPr>
                <w:rFonts w:ascii="SimSun" w:hAnsi="SimSun"/>
                <w:b w:val="false"/>
                <w:i w:val="false"/>
                <w:color w:val="000000"/>
                <w:sz w:val="21"/>
              </w:rPr>
              <w:t>Images and Ideas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视觉媒介研究</w:t>
            </w:r>
            <w:r>
              <w:br/>
            </w:r>
            <w:r>
              <w:br/>
            </w:r>
            <w:r>
              <w:rPr>
                <w:rFonts w:ascii="SimSun" w:hAnsi="SimSun"/>
                <w:b w:val="false"/>
                <w:i w:val="false"/>
                <w:color w:val="000000"/>
                <w:sz w:val="21"/>
              </w:rPr>
              <w:t>Research on Visual Media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中国近现代艺术</w:t>
            </w:r>
            <w:r>
              <w:br/>
            </w:r>
            <w:r>
              <w:br/>
            </w:r>
            <w:r>
              <w:rPr>
                <w:rFonts w:ascii="SimSun" w:hAnsi="SimSun"/>
                <w:b w:val="false"/>
                <w:i w:val="false"/>
                <w:color w:val="000000"/>
                <w:sz w:val="21"/>
              </w:rPr>
              <w:t>Chinese Modern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西方现当代艺术</w:t>
            </w:r>
            <w:r>
              <w:br/>
            </w:r>
            <w:r>
              <w:br/>
            </w:r>
            <w:r>
              <w:rPr>
                <w:rFonts w:ascii="SimSun" w:hAnsi="SimSun"/>
                <w:b w:val="false"/>
                <w:i w:val="false"/>
                <w:color w:val="000000"/>
                <w:sz w:val="21"/>
              </w:rPr>
              <w:t>Western Modern and Contemporary Art</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音乐与哲学</w:t>
            </w:r>
            <w:r>
              <w:br/>
            </w:r>
            <w:r>
              <w:br/>
            </w:r>
            <w:r>
              <w:rPr>
                <w:rFonts w:ascii="SimSun" w:hAnsi="SimSun"/>
                <w:b w:val="false"/>
                <w:i w:val="false"/>
                <w:color w:val="000000"/>
                <w:sz w:val="21"/>
              </w:rPr>
              <w:t>Music and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摄影与哲学</w:t>
            </w:r>
            <w:r>
              <w:br/>
            </w:r>
            <w:r>
              <w:br/>
            </w:r>
            <w:r>
              <w:rPr>
                <w:rFonts w:ascii="SimSun" w:hAnsi="SimSun"/>
                <w:b w:val="false"/>
                <w:i w:val="false"/>
                <w:color w:val="000000"/>
                <w:sz w:val="21"/>
              </w:rPr>
              <w:t>Photography and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建筑艺术导论</w:t>
            </w:r>
            <w:r>
              <w:br/>
            </w:r>
            <w:r>
              <w:br/>
            </w:r>
            <w:r>
              <w:rPr>
                <w:rFonts w:ascii="SimSun" w:hAnsi="SimSun"/>
                <w:b w:val="false"/>
                <w:i w:val="false"/>
                <w:color w:val="000000"/>
                <w:sz w:val="21"/>
              </w:rPr>
              <w:t>Introduction to Architectural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电影与哲学</w:t>
            </w:r>
            <w:r>
              <w:br/>
            </w:r>
            <w:r>
              <w:br/>
            </w:r>
            <w:r>
              <w:rPr>
                <w:rFonts w:ascii="SimSun" w:hAnsi="SimSun"/>
                <w:b w:val="false"/>
                <w:i w:val="false"/>
                <w:color w:val="000000"/>
                <w:sz w:val="21"/>
              </w:rPr>
              <w:t>Philosophy and Film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悲剧与哲学</w:t>
            </w:r>
            <w:r>
              <w:br/>
            </w:r>
            <w:r>
              <w:br/>
            </w:r>
            <w:r>
              <w:rPr>
                <w:rFonts w:ascii="SimSun" w:hAnsi="SimSun"/>
                <w:b w:val="false"/>
                <w:i w:val="false"/>
                <w:color w:val="000000"/>
                <w:sz w:val="21"/>
              </w:rPr>
              <w:t>Tragedy and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中国书法理论与实践</w:t>
            </w:r>
            <w:r>
              <w:br/>
            </w:r>
            <w:r>
              <w:br/>
            </w:r>
            <w:r>
              <w:rPr>
                <w:rFonts w:ascii="SimSun" w:hAnsi="SimSun"/>
                <w:b w:val="false"/>
                <w:i w:val="false"/>
                <w:color w:val="000000"/>
                <w:sz w:val="21"/>
              </w:rPr>
              <w:t>Theory and Practice of Chinese Calligraphy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中国绘画与画论</w:t>
            </w:r>
            <w:r>
              <w:br/>
            </w:r>
            <w:r>
              <w:br/>
            </w:r>
            <w:r>
              <w:rPr>
                <w:rFonts w:ascii="SimSun" w:hAnsi="SimSun"/>
                <w:b w:val="false"/>
                <w:i w:val="false"/>
                <w:color w:val="000000"/>
                <w:sz w:val="21"/>
              </w:rPr>
              <w:t>Chinese Painting and Theory of Painting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中国美术考古</w:t>
            </w:r>
            <w:r>
              <w:br/>
            </w:r>
            <w:r>
              <w:br/>
            </w:r>
            <w:r>
              <w:rPr>
                <w:rFonts w:ascii="SimSun" w:hAnsi="SimSun"/>
                <w:b w:val="false"/>
                <w:i w:val="false"/>
                <w:color w:val="000000"/>
                <w:sz w:val="21"/>
              </w:rPr>
              <w:t>Chinese Art and Archaeology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中国墓葬艺术导论</w:t>
            </w:r>
            <w:r>
              <w:br/>
            </w:r>
            <w:r>
              <w:br/>
            </w:r>
            <w:r>
              <w:rPr>
                <w:rFonts w:ascii="SimSun" w:hAnsi="SimSun"/>
                <w:b w:val="false"/>
                <w:i w:val="false"/>
                <w:color w:val="000000"/>
                <w:sz w:val="21"/>
              </w:rPr>
              <w:t>History of Chinese Funerary Art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艺术批评与策展</w:t>
            </w:r>
            <w:r>
              <w:br/>
            </w:r>
            <w:r>
              <w:br/>
            </w:r>
            <w:r>
              <w:rPr>
                <w:rFonts w:ascii="SimSun" w:hAnsi="SimSun"/>
                <w:b w:val="false"/>
                <w:i w:val="false"/>
                <w:color w:val="000000"/>
                <w:sz w:val="21"/>
              </w:rPr>
              <w:t>Art Criticism and Curating</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PHIL30146</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D组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《文心雕龙》精读</w:t>
            </w:r>
            <w:r>
              <w:br/>
            </w:r>
            <w:r>
              <w:br/>
            </w:r>
            <w:r>
              <w:rPr>
                <w:rFonts w:ascii="SimSun" w:hAnsi="SimSun"/>
                <w:b w:val="false"/>
                <w:i w:val="false"/>
                <w:color w:val="000000"/>
                <w:sz w:val="21"/>
              </w:rPr>
              <w:t>Close Reading of The Literary Mind and the Carving of Dragons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康德哲学</w:t>
            </w:r>
            <w:r>
              <w:br/>
            </w:r>
            <w:r>
              <w:br/>
            </w:r>
            <w:r>
              <w:rPr>
                <w:rFonts w:ascii="SimSun" w:hAnsi="SimSun"/>
                <w:b w:val="false"/>
                <w:i w:val="false"/>
                <w:color w:val="000000"/>
                <w:sz w:val="21"/>
              </w:rPr>
              <w:t>Kantian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w:t>
            </w:r>
            <w:r>
              <w:br/>
            </w:r>
            <w:r>
              <w:br/>
            </w:r>
            <w:r>
              <w:rPr>
                <w:rFonts w:ascii="SimSun" w:hAnsi="SimSun"/>
                <w:b w:val="false"/>
                <w:i w:val="false"/>
                <w:color w:val="000000"/>
                <w:sz w:val="21"/>
              </w:rPr>
              <w:t>Philosophy of Christianity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佛教哲学</w:t>
            </w:r>
            <w:r>
              <w:br/>
            </w:r>
            <w:r>
              <w:br/>
            </w:r>
            <w:r>
              <w:rPr>
                <w:rFonts w:ascii="SimSun" w:hAnsi="SimSun"/>
                <w:b w:val="false"/>
                <w:i w:val="false"/>
                <w:color w:val="000000"/>
                <w:sz w:val="21"/>
              </w:rPr>
              <w:t>Philosophy of Buddhism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现代法国哲学</w:t>
            </w:r>
            <w:r>
              <w:br/>
            </w:r>
            <w:r>
              <w:br/>
            </w:r>
            <w:r>
              <w:rPr>
                <w:rFonts w:ascii="SimSun" w:hAnsi="SimSun"/>
                <w:b w:val="false"/>
                <w:i w:val="false"/>
                <w:color w:val="000000"/>
                <w:sz w:val="21"/>
              </w:rPr>
              <w:t>Contemporary French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人工智能哲学</w:t>
            </w:r>
            <w:r>
              <w:br/>
            </w:r>
            <w:r>
              <w:br/>
            </w:r>
            <w:r>
              <w:rPr>
                <w:rFonts w:ascii="SimSun" w:hAnsi="SimSun"/>
                <w:b w:val="false"/>
                <w:i w:val="false"/>
                <w:color w:val="000000"/>
                <w:sz w:val="21"/>
              </w:rPr>
              <w:t>Philosophy of Artificial Intelligence</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PHIL30047</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E组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专业进阶多元发展</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荣誉项目课程设置和修读要求请见哲学学院本科“荣誉项目”实施方案。下载地址：https://jwc.fudan.edu.cn/（复旦大学教务处）-专业培养-常用文档。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1.按照“基础型—综合型—创新型”渐次推进相互衔接的哲学教学体系，在解决复杂问题的过程中培养学生的哲学素养，激发批判性思维和科研潜力。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2.秉持“以学为中心、以学生学习成效与学术综合能力提升为导向”的理念，培养具有优秀哲学素养、宽阔学术视野、出色思维能力的拔尖学术人才。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3.围绕“复芏计划”展开多种学术项目，支撑具有多学科、全球化视野的“干细胞式”拔尖创新人才的培养。例如结合曦源、望道等学术项目的公开征集课题以及个人学术兴趣申请相关学术项目，获取相关导师的指导，帮助学生入门学术研究。
       </w:t>
      </w:r>
      <w:r>
        <w:br/>
      </w:r>
      <w:r>
        <w:rPr>
          <w:rFonts w:ascii="SimSun" w:hAnsi="SimSun"/>
          <w:b w:val="false"/>
          <w:i w:val="false"/>
          <w:color w:val="000000"/>
          <w:sz w:val="21"/>
        </w:rPr>
        <w:t xml:space="preserve">
       </w:t>
      </w:r>
      <w:r>
        <w:br/>
      </w:r>
      <w:r>
        <w:rPr>
          <w:rFonts w:ascii="SimSun" w:hAnsi="SimSun"/>
          <w:b w:val="false"/>
          <w:i w:val="false"/>
          <w:color w:val="000000"/>
          <w:sz w:val="21"/>
        </w:rPr>
        <w:t xml:space="preserve">4.提供大量读书班和论文研讨会。导师们举办各种主题的读书班，带领学生们深入研读哲学经典著作，帮助掌握阅读哲学原典的方法；学院建立机制保障，学生自发申请各类论文研讨会，互相点评。
       </w:t>
      </w:r>
      <w:r>
        <w:br/>
      </w:r>
      <w:r>
        <w:rPr>
          <w:rFonts w:ascii="SimSun" w:hAnsi="SimSun"/>
          <w:b w:val="false"/>
          <w:i w:val="false"/>
          <w:color w:val="000000"/>
          <w:sz w:val="21"/>
        </w:rPr>
        <w:t xml:space="preserve">
       </w:t>
      </w:r>
      <w:r>
        <w:br/>
      </w:r>
      <w:r>
        <w:rPr>
          <w:rFonts w:ascii="SimSun" w:hAnsi="SimSun"/>
          <w:b w:val="false"/>
          <w:i w:val="false"/>
          <w:color w:val="000000"/>
          <w:sz w:val="21"/>
        </w:rPr>
        <w:t xml:space="preserve">5.多渠道支持学生参加国内国际高水平论坛、会议等学术交流活动。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