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计算与智能创新学院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 信息安全-电子信息本硕融通培养方案 （产教融合班适用）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信息安全是数字时代不可或缺的支柱性技术。复旦大学信息安全专业立足国家网络空间安全战略，结合国际科技发展趋势，围绕密码学与系统安全、内容安全与数据安全等核心方向，深度融合计算机、数学、信息等多学科交叉优势，构建从理论学习到应用实践的全方位人才培养体系。专业前沿布局涵盖人工智能安全、网络安全、多媒体安全、区块链等前沿方向，并依托国家级平台及产学研协同创新体系，强化学生在复杂安全系统分析、智能威胁检测、安全协议设计与验证等方面的理论基础与实践能力。通过系统化培养，助力学生掌握前沿安全技术，具备系统安全设计思维，为我国信息、金融、国防等关键领域的安全发展提供强有力的人才支撑。</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致力于培养具备深厚理论素养与卓越工程实践能力的信息安全人才，使学生系统掌握网络安全攻防体系、现代密码学、多媒体安全等核心领域的技术原理与工程方法。本硕贯通的培养模式聚焦信息安全前沿，强调跨学科技术融合，帮助学生拓展专业视野，提升实践创新能力，为学生在网络空间安全领域的持续深入发展奠定坚实基础。</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4080933" cy="17102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080933" cy="17102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6</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2年级（学业绩点排名后10%的学生）、3年级结束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面试内容：学生专业能力以及科研兴趣与潜力等方面</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信息安全本科培养方案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面试内容：学生专业能力、学术成就以及科研兴趣与潜力等方面</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面试内容：学生专业能力、学术成就以及科研兴趣与潜力等方面</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信息安全</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141</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39</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60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35</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荣誉项目</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7</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电子信息硕士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信息安全</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097867" cy="13038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097867" cy="1303867"/>
                    </a:xfrm>
                    <a:prstGeom prst="rect">
                      <a:avLst/>
                    </a:prstGeom>
                  </pic:spPr>
                </pic:pic>
              </a:graphicData>
            </a:graphic>
          </wp:inline>
        </w:drawing>
      </w:r>
    </w:p>
    <w:p>
      <w:pPr>
        <w:spacing w:after="0"/>
        <w:ind w:left="0"/>
        <w:jc w:val="left"/>
      </w:pPr>
    </w:p>
    <w:p>
      <w:pPr>
        <w:spacing w:after="0"/>
        <w:ind w:left="0"/>
        <w:jc w:val="left"/>
      </w:pPr>
      <w:r>
        <w:rPr>
          <w:rFonts w:ascii="SimSun" w:hAnsi="SimSun"/>
          <w:b w:val="false"/>
          <w:i w:val="false"/>
          <w:color w:val="000000"/>
          <w:sz w:val="21"/>
        </w:rPr>
        <w:t>1、专业进阶路径：155 学分</w:t>
      </w:r>
    </w:p>
    <w:p>
      <w:pPr>
        <w:spacing w:after="0"/>
        <w:ind w:left="0"/>
        <w:jc w:val="left"/>
      </w:pPr>
      <w:r>
        <w:rPr>
          <w:rFonts w:ascii="SimSun" w:hAnsi="SimSun"/>
          <w:b w:val="false"/>
          <w:i w:val="false"/>
          <w:color w:val="000000"/>
          <w:sz w:val="21"/>
        </w:rPr>
        <w:t xml:space="preserve">    本路径学生本硕期间必须修满教学计划规定的 155 学分，包括通识教育课程42学分、专业培养课程 60 学分、专业进阶I修读 15 学分、专业进阶II修读 20 学分、融合创新能力培养 18 学分。</w:t>
      </w:r>
      <w:r>
        <w:br/>
      </w:r>
      <w:r>
        <w:br/>
      </w:r>
      <w:r>
        <w:rPr>
          <w:rFonts w:ascii="SimSun" w:hAnsi="SimSun"/>
          <w:b w:val="false"/>
          <w:i w:val="false"/>
          <w:color w:val="000000"/>
          <w:sz w:val="21"/>
        </w:rPr>
        <w:t xml:space="preserve">    其中，本科学段需要完成 141 学分（含实践学分不低于 36 学分；含美育学分不少于2学分，其中至少在“美学和艺术史论类”或“艺术鉴赏和评论类”课程中修读1学分，并至少参与一项艺术实践活动；劳动教育不少于32学时，并满足劳动周教育要求），包括通识教育课程 39 学分、专业培养课程 60 学分、专业进阶模块修读 35 学分、融合创新能力培养 7 学分。</w:t>
      </w:r>
    </w:p>
    <w:p>
      <w:pPr>
        <w:spacing w:after="0"/>
        <w:ind w:left="0"/>
        <w:jc w:val="left"/>
      </w:pPr>
      <w:r>
        <w:rPr>
          <w:rFonts w:ascii="SimSun" w:hAnsi="SimSun"/>
          <w:b w:val="false"/>
          <w:i w:val="false"/>
          <w:color w:val="000000"/>
          <w:sz w:val="21"/>
        </w:rPr>
        <w:t>2、    荣誉项目：155 学分</w:t>
      </w:r>
    </w:p>
    <w:p>
      <w:pPr>
        <w:spacing w:after="0"/>
        <w:ind w:left="0"/>
        <w:jc w:val="left"/>
      </w:pPr>
      <w:r>
        <w:rPr>
          <w:rFonts w:ascii="SimSun" w:hAnsi="SimSun"/>
          <w:b w:val="false"/>
          <w:i w:val="false"/>
          <w:color w:val="000000"/>
          <w:sz w:val="21"/>
        </w:rPr>
        <w:t xml:space="preserve">     荣誉项目课程设置和修读要求请见计算与智能创新学院（软件学院）本科“荣誉项目”实施方案。下载地址：https://jwc.fudan.edu.cn/（复旦大学教务处）专业培养-常用文档。</w:t>
      </w:r>
    </w:p>
    <w:p>
      <w:pPr>
        <w:spacing w:after="0"/>
        <w:ind w:left="0"/>
        <w:jc w:val="left"/>
      </w:pPr>
      <w:r>
        <w:rPr>
          <w:rFonts w:ascii="SimSun" w:hAnsi="SimSun"/>
          <w:b w:val="false"/>
          <w:i w:val="false"/>
          <w:color w:val="000000"/>
          <w:sz w:val="21"/>
        </w:rPr>
        <w:t>3、跨学科发展路径：170学分</w:t>
      </w:r>
    </w:p>
    <w:p>
      <w:pPr>
        <w:spacing w:after="0"/>
        <w:ind w:left="0"/>
        <w:jc w:val="left"/>
      </w:pPr>
      <w:r>
        <w:rPr>
          <w:rFonts w:ascii="SimSun" w:hAnsi="SimSun"/>
          <w:b w:val="false"/>
          <w:i w:val="false"/>
          <w:color w:val="000000"/>
          <w:sz w:val="21"/>
        </w:rPr>
        <w:t xml:space="preserve">     在专业进阶路径或荣誉项目基础上，修读1个非本专业独立开设的学程15学分，具体要求见教务处学程实施方案。</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 xml:space="preserve">1. 4年级结束时，如达到学士学位要求者授予理学学士学位。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2. 本科学段主动退出和转段考核不合格退出本硕融通计划的学生，需按照本专业本科“2+X”培养方案修读课程，如达到学士学位要求者授予理学学士学位。</w:t>
      </w:r>
    </w:p>
    <w:p>
      <w:pPr>
        <w:spacing w:after="0"/>
        <w:ind w:left="0"/>
        <w:jc w:val="left"/>
      </w:pPr>
      <w:r>
        <w:rPr>
          <w:rFonts w:ascii="SimSun" w:hAnsi="SimSun"/>
          <w:b w:val="false"/>
          <w:i w:val="false"/>
          <w:color w:val="000000"/>
          <w:sz w:val="21"/>
        </w:rPr>
        <w:t>（二）研究生学位</w:t>
      </w:r>
    </w:p>
    <w:p>
      <w:pPr>
        <w:spacing w:after="0"/>
        <w:ind w:left="0"/>
        <w:jc w:val="left"/>
      </w:pPr>
      <w:r>
        <w:rPr>
          <w:rFonts w:ascii="SimSun" w:hAnsi="SimSun"/>
          <w:b w:val="false"/>
          <w:i w:val="false"/>
          <w:color w:val="000000"/>
          <w:sz w:val="21"/>
        </w:rPr>
        <w:t>达到硕士学位要求者授予电子信息硕士学位：</w:t>
      </w:r>
      <w:r>
        <w:br/>
      </w:r>
      <w:r>
        <w:br/>
      </w:r>
      <w:r>
        <w:rPr>
          <w:rFonts w:ascii="SimSun" w:hAnsi="SimSun"/>
          <w:b w:val="false"/>
          <w:i w:val="false"/>
          <w:color w:val="000000"/>
          <w:sz w:val="21"/>
        </w:rPr>
        <w:t xml:space="preserve">（1）硕士学位申请人提出学位论文答辩申请时，必须已修满学校规定的学分；所有修读课程成绩合格，其中学位课程平均绩点原则上不低于 2.5。             </w:t>
      </w:r>
      <w:r>
        <w:br/>
      </w:r>
      <w:r>
        <w:br/>
      </w:r>
      <w:r>
        <w:rPr>
          <w:rFonts w:ascii="SimSun" w:hAnsi="SimSun"/>
          <w:b w:val="false"/>
          <w:i w:val="false"/>
          <w:color w:val="000000"/>
          <w:sz w:val="21"/>
        </w:rPr>
        <w:t>（2）硕士学位授予标准院系补充说明：</w:t>
      </w:r>
      <w:r>
        <w:br/>
      </w:r>
      <w:r>
        <w:br/>
      </w:r>
      <w:r>
        <w:rPr>
          <w:rFonts w:ascii="SimSun" w:hAnsi="SimSun"/>
          <w:b w:val="false"/>
          <w:i w:val="false"/>
          <w:color w:val="000000"/>
          <w:sz w:val="21"/>
        </w:rPr>
        <w:t>按照《复旦大学学位授予工作细则》的规定执行。专业学位硕士生申请学位没有发表学术论文的要求。</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p>
    <w:p>
      <w:pPr>
        <w:spacing w:after="0"/>
        <w:ind w:left="0"/>
        <w:jc w:val="left"/>
      </w:pPr>
      <w:r>
        <w:drawing>
          <wp:inline distT="0" distB="0" distL="0" distR="0">
            <wp:extent cx="3556000" cy="18118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556000" cy="1811867"/>
                    </a:xfrm>
                    <a:prstGeom prst="rect">
                      <a:avLst/>
                    </a:prstGeom>
                  </pic:spPr>
                </pic:pic>
              </a:graphicData>
            </a:graphic>
          </wp:inline>
        </w:drawing>
      </w:r>
    </w:p>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针对本硕融通计划学生在二年级下学期设置《课题组轮转》，要求学生在3个以上不同课题组开展无学分轮转，通过参加讨论班以及交流讨论等方式了解不同研究方向并考虑自身科研兴趣。学期结束后初步确定导师及课题组。</w:t>
      </w:r>
      <w:r>
        <w:br/>
      </w:r>
      <w:r>
        <w:br/>
      </w:r>
      <w:r>
        <w:rPr>
          <w:rFonts w:ascii="SimSun" w:hAnsi="SimSun"/>
          <w:b w:val="false"/>
          <w:i w:val="false"/>
          <w:color w:val="000000"/>
          <w:sz w:val="21"/>
        </w:rPr>
        <w:t>在三年级上学期设置《综合实践》课程，在指导教师组的带领下完成一个与本专业研究方向密切相关的专业能力综合实践。本硕融通项目邀请企业和行业导师参与同时突出强调系统及工程实践能力。学期结束后正式确定导师及课题组。</w:t>
      </w:r>
      <w:r>
        <w:br/>
      </w:r>
      <w:r>
        <w:br/>
      </w:r>
      <w:r>
        <w:rPr>
          <w:rFonts w:ascii="SimSun" w:hAnsi="SimSun"/>
          <w:b w:val="false"/>
          <w:i w:val="false"/>
          <w:color w:val="000000"/>
          <w:sz w:val="21"/>
        </w:rPr>
        <w:t>在三年级下学期设置《前沿探索》课程，在课题组导师指导下完成一个与本专业研究方向密切相关的科研课题。本硕融通项目突出强调系统及应用型研究，可邀请企业和行业导师参与指导，最终成果体现为学术论文、技术报告、工具系统、开源项目或科创竞赛项目等（可合作完成）。</w:t>
      </w:r>
      <w:r>
        <w:br/>
      </w:r>
      <w:r>
        <w:br/>
      </w:r>
      <w:r>
        <w:rPr>
          <w:rFonts w:ascii="SimSun" w:hAnsi="SimSun"/>
          <w:b w:val="false"/>
          <w:i w:val="false"/>
          <w:color w:val="000000"/>
          <w:sz w:val="21"/>
        </w:rPr>
        <w:t>同时，鼓励学生结合《综合实践》和《前沿探索》课程申请FDUROP项目，并参与导师课题组的科研工作。</w:t>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（42学分,本科要求39学分）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（29学分,本科要求26学分）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要求修读29学分，含思想政治理论课22学分（其中研究生学位课3学分），七大模块课程6学分，(每模块≤1门)，并且不能修读第五模块，美育学分不少于2学分，大学生国家安全教育1学分。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（13学分,本科要求13学分）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（20学分,本科要求20学分）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工学基础课程</w:t>
      </w:r>
      <w:r>
        <w:rPr>
          <w:rFonts w:ascii="SimSun" w:hAnsi="SimSun"/>
          <w:b/>
          <w:i w:val="false"/>
          <w:color w:val="000000"/>
          <w:sz w:val="21"/>
        </w:rPr>
        <w:t>（20学分,本科要求20学分）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普通物理B</w:t>
            </w:r>
            <w:r>
              <w:br/>
            </w:r>
            <w:r>
              <w:br/>
            </w:r>
            <w:r>
              <w:rPr>
                <w:rFonts w:ascii="SimSun" w:hAnsi="SimSun"/>
                <w:b w:val="false"/>
                <w:i w:val="false"/>
                <w:color w:val="000000"/>
                <w:sz w:val="21"/>
              </w:rPr>
              <w:t>General Physics B</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（40学分,本科要求40学分）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4"/>
        <w:gridCol w:w="800"/>
        <w:gridCol w:w="800"/>
        <w:gridCol w:w="1121"/>
        <w:gridCol w:w="1700"/>
        <w:gridCol w:w="800"/>
        <w:gridCol w:w="800"/>
        <w:gridCol w:w="801"/>
        <w:gridCol w:w="801"/>
        <w:gridCol w:w="1122"/>
        <w:gridCol w:w="1685"/>
      </w:tblGrid>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面向对象程序设计</w:t>
            </w:r>
            <w:r>
              <w:br/>
            </w:r>
            <w:r>
              <w:br/>
            </w:r>
            <w:r>
              <w:rPr>
                <w:rFonts w:ascii="SimSun" w:hAnsi="SimSun"/>
                <w:b w:val="false"/>
                <w:i w:val="false"/>
                <w:color w:val="000000"/>
                <w:sz w:val="21"/>
              </w:rPr>
              <w:t>Object Oriented Programming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CS20009</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 Statistics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STAT30001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集合与图论</w:t>
            </w:r>
            <w:r>
              <w:br/>
            </w:r>
            <w:r>
              <w:br/>
            </w:r>
            <w:r>
              <w:rPr>
                <w:rFonts w:ascii="SimSun" w:hAnsi="SimSun"/>
                <w:b w:val="false"/>
                <w:i w:val="false"/>
                <w:color w:val="000000"/>
                <w:sz w:val="21"/>
              </w:rPr>
              <w:t>Set Theory and Graph Theory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w:t>
            </w:r>
            <w:r>
              <w:br/>
            </w:r>
            <w:r>
              <w:br/>
            </w:r>
            <w:r>
              <w:rPr>
                <w:rFonts w:ascii="SimSun" w:hAnsi="SimSun"/>
                <w:b w:val="false"/>
                <w:i w:val="false"/>
                <w:color w:val="000000"/>
                <w:sz w:val="21"/>
              </w:rPr>
              <w:t>Principles of Computer System</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人工智能导论</w:t>
            </w:r>
            <w:r>
              <w:br/>
            </w:r>
            <w:r>
              <w:br/>
            </w:r>
            <w:r>
              <w:rPr>
                <w:rFonts w:ascii="SimSun" w:hAnsi="SimSun"/>
                <w:b w:val="false"/>
                <w:i w:val="false"/>
                <w:color w:val="000000"/>
                <w:sz w:val="21"/>
              </w:rPr>
              <w:t>Introduction to Artificial Intelligence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也可修读《Introduction to Artificial Intelligence》</w:t>
            </w: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代数结构与数理逻辑</w:t>
            </w:r>
            <w:r>
              <w:br/>
            </w:r>
            <w:r>
              <w:br/>
            </w:r>
            <w:r>
              <w:rPr>
                <w:rFonts w:ascii="SimSun" w:hAnsi="SimSun"/>
                <w:b w:val="false"/>
                <w:i w:val="false"/>
                <w:color w:val="000000"/>
                <w:sz w:val="21"/>
              </w:rPr>
              <w:t>Algebra Structure and Mathematical Logic</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逆向工程原理</w:t>
            </w:r>
            <w:r>
              <w:br/>
            </w:r>
            <w:r>
              <w:br/>
            </w:r>
            <w:r>
              <w:rPr>
                <w:rFonts w:ascii="SimSun" w:hAnsi="SimSun"/>
                <w:b w:val="false"/>
                <w:i w:val="false"/>
                <w:color w:val="000000"/>
                <w:sz w:val="21"/>
              </w:rPr>
              <w:t>Principles of Reverse Engineering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CSEC20004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计算机组成与体系结构</w:t>
            </w:r>
            <w:r>
              <w:br/>
            </w:r>
            <w:r>
              <w:br/>
            </w:r>
            <w:r>
              <w:rPr>
                <w:rFonts w:ascii="SimSun" w:hAnsi="SimSun"/>
                <w:b w:val="false"/>
                <w:i w:val="false"/>
                <w:color w:val="000000"/>
                <w:sz w:val="21"/>
              </w:rPr>
              <w:t>Computer Organization and Architecture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操作系统</w:t>
            </w:r>
            <w:r>
              <w:br/>
            </w:r>
            <w:r>
              <w:br/>
            </w:r>
            <w:r>
              <w:rPr>
                <w:rFonts w:ascii="SimSun" w:hAnsi="SimSun"/>
                <w:b w:val="false"/>
                <w:i w:val="false"/>
                <w:color w:val="000000"/>
                <w:sz w:val="21"/>
              </w:rPr>
              <w:t>Operating Systems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w:t>
            </w:r>
            <w:r>
              <w:br/>
            </w:r>
            <w:r>
              <w:br/>
            </w:r>
            <w:r>
              <w:rPr>
                <w:rFonts w:ascii="SimSun" w:hAnsi="SimSun"/>
                <w:b w:val="false"/>
                <w:i w:val="false"/>
                <w:color w:val="000000"/>
                <w:sz w:val="21"/>
              </w:rPr>
              <w:t>Computer Networks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CS30036</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多媒体信息安全</w:t>
            </w:r>
            <w:r>
              <w:br/>
            </w:r>
            <w:r>
              <w:br/>
            </w:r>
            <w:r>
              <w:rPr>
                <w:rFonts w:ascii="SimSun" w:hAnsi="SimSun"/>
                <w:b w:val="false"/>
                <w:i w:val="false"/>
                <w:color w:val="000000"/>
                <w:sz w:val="21"/>
              </w:rPr>
              <w:t>Multimedia Security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CSEC30001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密码学基础</w:t>
            </w:r>
            <w:r>
              <w:br/>
            </w:r>
            <w:r>
              <w:br/>
            </w:r>
            <w:r>
              <w:rPr>
                <w:rFonts w:ascii="SimSun" w:hAnsi="SimSun"/>
                <w:b w:val="false"/>
                <w:i w:val="false"/>
                <w:color w:val="000000"/>
                <w:sz w:val="21"/>
              </w:rPr>
              <w:t>Introduction to Cryptography</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CSEC30007</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修满35 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（1）专业进阶模块I（修满 15学分）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（2）专业进阶模块II（需修满20学分，其中本硕融通学生修读本研课程不少于12学分）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（15学分,本科要求15学分）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专业进阶模块I（需修满15学分）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10"/>
        <w:gridCol w:w="805"/>
        <w:gridCol w:w="805"/>
        <w:gridCol w:w="805"/>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信息内容安全</w:t>
            </w:r>
            <w:r>
              <w:br/>
            </w:r>
            <w:r>
              <w:br/>
            </w:r>
            <w:r>
              <w:rPr>
                <w:rFonts w:ascii="SimSun" w:hAnsi="SimSun"/>
                <w:b w:val="false"/>
                <w:i w:val="false"/>
                <w:color w:val="000000"/>
                <w:sz w:val="21"/>
              </w:rPr>
              <w:t>Information Content Security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CSEC30003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软件安全</w:t>
            </w:r>
            <w:r>
              <w:br/>
            </w:r>
            <w:r>
              <w:br/>
            </w:r>
            <w:r>
              <w:rPr>
                <w:rFonts w:ascii="SimSun" w:hAnsi="SimSun"/>
                <w:b w:val="false"/>
                <w:i w:val="false"/>
                <w:color w:val="000000"/>
                <w:sz w:val="21"/>
              </w:rPr>
              <w:t>Software Security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CSEC30013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信息论与编码</w:t>
            </w:r>
            <w:r>
              <w:br/>
            </w:r>
            <w:r>
              <w:br/>
            </w:r>
            <w:r>
              <w:rPr>
                <w:rFonts w:ascii="SimSun" w:hAnsi="SimSun"/>
                <w:b w:val="false"/>
                <w:i w:val="false"/>
                <w:color w:val="000000"/>
                <w:sz w:val="21"/>
              </w:rPr>
              <w:t>Information Theory and Code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CSEC30006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信息系统安全</w:t>
            </w:r>
            <w:r>
              <w:br/>
            </w:r>
            <w:r>
              <w:br/>
            </w:r>
            <w:r>
              <w:rPr>
                <w:rFonts w:ascii="SimSun" w:hAnsi="SimSun"/>
                <w:b w:val="false"/>
                <w:i w:val="false"/>
                <w:color w:val="000000"/>
                <w:sz w:val="21"/>
              </w:rPr>
              <w:t>Information Systems Security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CSEC30015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智能系统安全实践</w:t>
            </w:r>
            <w:r>
              <w:br/>
            </w:r>
            <w:r>
              <w:br/>
            </w:r>
            <w:r>
              <w:rPr>
                <w:rFonts w:ascii="SimSun" w:hAnsi="SimSun"/>
                <w:b w:val="false"/>
                <w:i w:val="false"/>
                <w:color w:val="000000"/>
                <w:sz w:val="21"/>
              </w:rPr>
              <w:t>Intelligent System Security Practices</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CSEC30004</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（20学分）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专业进阶模块II（需修满20学分，其中本硕融通学生修读本研课程不少于12学分）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数字逻辑与部件设计</w:t>
            </w:r>
            <w:r>
              <w:br/>
            </w:r>
            <w:r>
              <w:br/>
            </w:r>
            <w:r>
              <w:rPr>
                <w:rFonts w:ascii="SimSun" w:hAnsi="SimSun"/>
                <w:b w:val="false"/>
                <w:i w:val="false"/>
                <w:color w:val="000000"/>
                <w:sz w:val="21"/>
              </w:rPr>
              <w:t>Digital Logic and Component Design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数据库系统</w:t>
            </w:r>
            <w:r>
              <w:br/>
            </w:r>
            <w:r>
              <w:br/>
            </w:r>
            <w:r>
              <w:rPr>
                <w:rFonts w:ascii="SimSun" w:hAnsi="SimSun"/>
                <w:b w:val="false"/>
                <w:i w:val="false"/>
                <w:color w:val="000000"/>
                <w:sz w:val="21"/>
              </w:rPr>
              <w:t>Database Systems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算法设计与分析</w:t>
            </w:r>
            <w:r>
              <w:br/>
            </w:r>
            <w:r>
              <w:br/>
            </w:r>
            <w:r>
              <w:rPr>
                <w:rFonts w:ascii="SimSun" w:hAnsi="SimSun"/>
                <w:b w:val="false"/>
                <w:i w:val="false"/>
                <w:color w:val="000000"/>
                <w:sz w:val="21"/>
              </w:rPr>
              <w:t>Algorithm Design and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防火墙技术</w:t>
            </w:r>
            <w:r>
              <w:br/>
            </w:r>
            <w:r>
              <w:br/>
            </w:r>
            <w:r>
              <w:rPr>
                <w:rFonts w:ascii="SimSun" w:hAnsi="SimSun"/>
                <w:b w:val="false"/>
                <w:i w:val="false"/>
                <w:color w:val="000000"/>
                <w:sz w:val="21"/>
              </w:rPr>
              <w:t>Firewall Technology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CSEC50003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无线网络及安全</w:t>
            </w:r>
            <w:r>
              <w:br/>
            </w:r>
            <w:r>
              <w:br/>
            </w:r>
            <w:r>
              <w:rPr>
                <w:rFonts w:ascii="SimSun" w:hAnsi="SimSun"/>
                <w:b w:val="false"/>
                <w:i w:val="false"/>
                <w:color w:val="000000"/>
                <w:sz w:val="21"/>
              </w:rPr>
              <w:t>Wireless Network and Security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CSEC50005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物联网与边缘计算</w:t>
            </w:r>
            <w:r>
              <w:br/>
            </w:r>
            <w:r>
              <w:br/>
            </w:r>
            <w:r>
              <w:rPr>
                <w:rFonts w:ascii="SimSun" w:hAnsi="SimSun"/>
                <w:b w:val="false"/>
                <w:i w:val="false"/>
                <w:color w:val="000000"/>
                <w:sz w:val="21"/>
              </w:rPr>
              <w:t>Internet of Things and Edge Computing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CS40020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软件设计</w:t>
            </w:r>
            <w:r>
              <w:br/>
            </w:r>
            <w:r>
              <w:br/>
            </w:r>
            <w:r>
              <w:rPr>
                <w:rFonts w:ascii="SimSun" w:hAnsi="SimSun"/>
                <w:b w:val="false"/>
                <w:i w:val="false"/>
                <w:color w:val="000000"/>
                <w:sz w:val="21"/>
              </w:rPr>
              <w:t>Software Design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网络黑灰产治理实践</w:t>
            </w:r>
            <w:r>
              <w:br/>
            </w:r>
            <w:r>
              <w:br/>
            </w:r>
            <w:r>
              <w:rPr>
                <w:rFonts w:ascii="SimSun" w:hAnsi="SimSun"/>
                <w:b w:val="false"/>
                <w:i w:val="false"/>
                <w:color w:val="000000"/>
                <w:sz w:val="21"/>
              </w:rPr>
              <w:t>Practice of Underground Industry Governance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CSEC30002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计算机网络进阶</w:t>
            </w:r>
            <w:r>
              <w:br/>
            </w:r>
            <w:r>
              <w:br/>
            </w:r>
            <w:r>
              <w:rPr>
                <w:rFonts w:ascii="SimSun" w:hAnsi="SimSun"/>
                <w:b w:val="false"/>
                <w:i w:val="false"/>
                <w:color w:val="000000"/>
                <w:sz w:val="21"/>
              </w:rPr>
              <w:t>Advanced Topics in Computer Networks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云计算与虚拟化技术</w:t>
            </w:r>
            <w:r>
              <w:br/>
            </w:r>
            <w:r>
              <w:br/>
            </w:r>
            <w:r>
              <w:rPr>
                <w:rFonts w:ascii="SimSun" w:hAnsi="SimSun"/>
                <w:b w:val="false"/>
                <w:i w:val="false"/>
                <w:color w:val="000000"/>
                <w:sz w:val="21"/>
              </w:rPr>
              <w:t>Cloud Computing and Virtualization Technology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编译</w:t>
            </w:r>
            <w:r>
              <w:br/>
            </w:r>
            <w:r>
              <w:br/>
            </w:r>
            <w:r>
              <w:rPr>
                <w:rFonts w:ascii="SimSun" w:hAnsi="SimSun"/>
                <w:b w:val="false"/>
                <w:i w:val="false"/>
                <w:color w:val="000000"/>
                <w:sz w:val="21"/>
              </w:rPr>
              <w:t>Compilers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计算机取证</w:t>
            </w:r>
            <w:r>
              <w:br/>
            </w:r>
            <w:r>
              <w:br/>
            </w:r>
            <w:r>
              <w:rPr>
                <w:rFonts w:ascii="SimSun" w:hAnsi="SimSun"/>
                <w:b w:val="false"/>
                <w:i w:val="false"/>
                <w:color w:val="000000"/>
                <w:sz w:val="21"/>
              </w:rPr>
              <w:t>Computer Forensics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CSEC50004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新型网络体系结构</w:t>
            </w:r>
            <w:r>
              <w:br/>
            </w:r>
            <w:r>
              <w:br/>
            </w:r>
            <w:r>
              <w:rPr>
                <w:rFonts w:ascii="SimSun" w:hAnsi="SimSun"/>
                <w:b w:val="false"/>
                <w:i w:val="false"/>
                <w:color w:val="000000"/>
                <w:sz w:val="21"/>
              </w:rPr>
              <w:t>Future Network Architecture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卫星互联网</w:t>
            </w:r>
            <w:r>
              <w:br/>
            </w:r>
            <w:r>
              <w:br/>
            </w:r>
            <w:r>
              <w:rPr>
                <w:rFonts w:ascii="SimSun" w:hAnsi="SimSun"/>
                <w:b w:val="false"/>
                <w:i w:val="false"/>
                <w:color w:val="000000"/>
                <w:sz w:val="21"/>
              </w:rPr>
              <w:t>Satellite Internet</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软件测试</w:t>
            </w:r>
            <w:r>
              <w:br/>
            </w:r>
            <w:r>
              <w:br/>
            </w:r>
            <w:r>
              <w:rPr>
                <w:rFonts w:ascii="SimSun" w:hAnsi="SimSun"/>
                <w:b w:val="false"/>
                <w:i w:val="false"/>
                <w:color w:val="000000"/>
                <w:sz w:val="21"/>
              </w:rPr>
              <w:t>Software Testing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计算理论基础</w:t>
            </w:r>
            <w:r>
              <w:br/>
            </w:r>
            <w:r>
              <w:br/>
            </w:r>
            <w:r>
              <w:rPr>
                <w:rFonts w:ascii="SimSun" w:hAnsi="SimSun"/>
                <w:b w:val="false"/>
                <w:i w:val="false"/>
                <w:color w:val="000000"/>
                <w:sz w:val="21"/>
              </w:rPr>
              <w:t>Fundamentals of Computation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CS30021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安全攻防综合实验</w:t>
            </w:r>
            <w:r>
              <w:br/>
            </w:r>
            <w:r>
              <w:br/>
            </w:r>
            <w:r>
              <w:rPr>
                <w:rFonts w:ascii="SimSun" w:hAnsi="SimSun"/>
                <w:b w:val="false"/>
                <w:i w:val="false"/>
                <w:color w:val="000000"/>
                <w:sz w:val="21"/>
              </w:rPr>
              <w:t>Comprehensive Labs of Security Attack and Defense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CSEC40004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数据安全和隐私保护</w:t>
            </w:r>
            <w:r>
              <w:br/>
            </w:r>
            <w:r>
              <w:br/>
            </w:r>
            <w:r>
              <w:rPr>
                <w:rFonts w:ascii="SimSun" w:hAnsi="SimSun"/>
                <w:b w:val="false"/>
                <w:i w:val="false"/>
                <w:color w:val="000000"/>
                <w:sz w:val="21"/>
              </w:rPr>
              <w:t>Data Security and Privacy Protection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CSEC40002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区块链技术</w:t>
            </w:r>
            <w:r>
              <w:br/>
            </w:r>
            <w:r>
              <w:br/>
            </w:r>
            <w:r>
              <w:rPr>
                <w:rFonts w:ascii="SimSun" w:hAnsi="SimSun"/>
                <w:b w:val="false"/>
                <w:i w:val="false"/>
                <w:color w:val="000000"/>
                <w:sz w:val="21"/>
              </w:rPr>
              <w:t>The Technology of Blockchain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CSEC30016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信息物理融合系统</w:t>
            </w:r>
            <w:r>
              <w:br/>
            </w:r>
            <w:r>
              <w:br/>
            </w:r>
            <w:r>
              <w:rPr>
                <w:rFonts w:ascii="SimSun" w:hAnsi="SimSun"/>
                <w:b w:val="false"/>
                <w:i w:val="false"/>
                <w:color w:val="000000"/>
                <w:sz w:val="21"/>
              </w:rPr>
              <w:t>Cyber-physical Systems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CS40026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代码安全审计和分析</w:t>
            </w:r>
            <w:r>
              <w:br/>
            </w:r>
            <w:r>
              <w:br/>
            </w:r>
            <w:r>
              <w:rPr>
                <w:rFonts w:ascii="SimSun" w:hAnsi="SimSun"/>
                <w:b w:val="false"/>
                <w:i w:val="false"/>
                <w:color w:val="000000"/>
                <w:sz w:val="21"/>
              </w:rPr>
              <w:t>Code Security Audit and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CSEC50006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安全编程语言设计</w:t>
            </w:r>
            <w:r>
              <w:br/>
            </w:r>
            <w:r>
              <w:br/>
            </w:r>
            <w:r>
              <w:rPr>
                <w:rFonts w:ascii="SimSun" w:hAnsi="SimSun"/>
                <w:b w:val="false"/>
                <w:i w:val="false"/>
                <w:color w:val="000000"/>
                <w:sz w:val="21"/>
              </w:rPr>
              <w:t>Memory Safety and Programming Language Design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CS60016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恶意代码分析与防范</w:t>
            </w:r>
            <w:r>
              <w:br/>
            </w:r>
            <w:r>
              <w:br/>
            </w:r>
            <w:r>
              <w:rPr>
                <w:rFonts w:ascii="SimSun" w:hAnsi="SimSun"/>
                <w:b w:val="false"/>
                <w:i w:val="false"/>
                <w:color w:val="000000"/>
                <w:sz w:val="21"/>
              </w:rPr>
              <w:t>Malicious Code Analysis and Prevention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CSEC60003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生物特征识别与安全</w:t>
            </w:r>
            <w:r>
              <w:br/>
            </w:r>
            <w:r>
              <w:br/>
            </w:r>
            <w:r>
              <w:rPr>
                <w:rFonts w:ascii="SimSun" w:hAnsi="SimSun"/>
                <w:b w:val="false"/>
                <w:i w:val="false"/>
                <w:color w:val="000000"/>
                <w:sz w:val="21"/>
              </w:rPr>
              <w:t>Biometrics and security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CSEC60006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程序分析</w:t>
            </w:r>
            <w:r>
              <w:br/>
            </w:r>
            <w:r>
              <w:br/>
            </w:r>
            <w:r>
              <w:rPr>
                <w:rFonts w:ascii="SimSun" w:hAnsi="SimSun"/>
                <w:b w:val="false"/>
                <w:i w:val="false"/>
                <w:color w:val="000000"/>
                <w:sz w:val="21"/>
              </w:rPr>
              <w:t>Program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CS60027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网络安全与数字伦理</w:t>
            </w:r>
            <w:r>
              <w:br/>
            </w:r>
            <w:r>
              <w:br/>
            </w:r>
            <w:r>
              <w:rPr>
                <w:rFonts w:ascii="SimSun" w:hAnsi="SimSun"/>
                <w:b w:val="false"/>
                <w:i w:val="false"/>
                <w:color w:val="000000"/>
                <w:sz w:val="21"/>
              </w:rPr>
              <w:t>Cybersecurity and Digital Ethics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CSEC50001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可证明安全理论与应用</w:t>
            </w:r>
            <w:r>
              <w:br/>
            </w:r>
            <w:r>
              <w:br/>
            </w:r>
            <w:r>
              <w:rPr>
                <w:rFonts w:ascii="SimSun" w:hAnsi="SimSun"/>
                <w:b w:val="false"/>
                <w:i w:val="false"/>
                <w:color w:val="000000"/>
                <w:sz w:val="21"/>
              </w:rPr>
              <w:t>Provable Security: Theory and Applications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CSEC60002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网络仿真与硬件实现</w:t>
            </w:r>
            <w:r>
              <w:br/>
            </w:r>
            <w:r>
              <w:br/>
            </w:r>
            <w:r>
              <w:rPr>
                <w:rFonts w:ascii="SimSun" w:hAnsi="SimSun"/>
                <w:b w:val="false"/>
                <w:i w:val="false"/>
                <w:color w:val="000000"/>
                <w:sz w:val="21"/>
              </w:rPr>
              <w:t>Network Simulation and Hardware Implementation</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CS50001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a) 限定专业选修课程</w:t>
      </w:r>
      <w:r>
        <w:rPr>
          <w:rFonts w:ascii="SimSun" w:hAnsi="SimSun"/>
          <w:b/>
          <w:i w:val="false"/>
          <w:color w:val="000000"/>
          <w:sz w:val="21"/>
        </w:rPr>
        <w:t>（0学分,本科要求3学分）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（35学分）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荣誉课程</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（50学分）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修满50学分。要求在本专业专业进阶模块I修读15学分、专业进阶模块II修读20学分、1个非本专业独立开设的学程15学分。学程课程具体要求见教务处网站学程实施方案。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课题组轮转</w:t>
            </w:r>
            <w:r>
              <w:br/>
            </w:r>
            <w:r>
              <w:br/>
            </w:r>
            <w:r>
              <w:rPr>
                <w:rFonts w:ascii="SimSun" w:hAnsi="SimSun"/>
                <w:b w:val="false"/>
                <w:i w:val="false"/>
                <w:color w:val="000000"/>
                <w:sz w:val="21"/>
              </w:rPr>
              <w:t>Research Group Rotation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综合实践</w:t>
            </w:r>
            <w:r>
              <w:br/>
            </w:r>
            <w:r>
              <w:br/>
            </w:r>
            <w:r>
              <w:rPr>
                <w:rFonts w:ascii="SimSun" w:hAnsi="SimSun"/>
                <w:b w:val="false"/>
                <w:i w:val="false"/>
                <w:color w:val="000000"/>
                <w:sz w:val="21"/>
              </w:rPr>
              <w:t>Integrated Practicum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前沿探索</w:t>
            </w:r>
            <w:r>
              <w:br/>
            </w:r>
            <w:r>
              <w:br/>
            </w:r>
            <w:r>
              <w:rPr>
                <w:rFonts w:ascii="SimSun" w:hAnsi="SimSun"/>
                <w:b w:val="false"/>
                <w:i w:val="false"/>
                <w:color w:val="000000"/>
                <w:sz w:val="21"/>
              </w:rPr>
              <w:t>Frontier Exploration Practicum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第5、6学期，需要承担1项复芏计划，详见复旦大学本科生学术研究资助计划管理办法。</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要求掌握本领域基本理论与方法以及前沿动态与最新技术成果，积极参加学术活动（形式包括参加学术报告或研讨、主讲学术或科普报告、参加学术会议等）。原则上要求各方向各年级每周组织一次讨论班，每个学生每学期报告2次以上，同时参加讨论班的总次数应在60次以上。要求每个学生每年参加3次以上前沿学术讲座。参与校企联合攻关项目、产业技术调研、科技成果转化实践等产教融合活动，鼓励学生结合国家重大战略需求及行业关键技术问题开展研究。鼓励有条件的方向在本领域研究基础上与学校文社理工医等其他各专业开展学科交叉研究。由导师和相关专家根据学术活动参加次数、报告质量以及相关学术研究中的具体贡献进行评定，评定等级分为合格(P)、不合格（NP）。</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过专业实践培养学生的产业和行业发展洞察力以及工程实践能力，一般应当在第4到第6学年完成，形式包括企业实习实践、学科交叉研究实践、开源项目实践、系统研发实践、创新创业实践等。学院将与国内外知名科技企业建立长期合作关系，建立实践培养基地或形成联合培养计划，同时聘请行业导师参与指导。鼓励学生在导师指导下，基于所属专业研究内容与学校其他院系开展学科交叉研究。同时，鼓励学生了解行业前沿技术和实际应用场景，结合专业知识及研究成果参与创新创业及成果转化。</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可用修读1门全英语的研究生课程替代</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