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2025行政管理专业-公共管理-本博融通培养方案（普通学生适用）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公共管理学为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秉持“宽口径、厚基础、重能力、求创新”的人才培养理念，构建了“2+X+Y”培养模式（2是通识和专业教育，X是多元发展路径，Y为融合创新能力），致力于培养德智体美劳全面发展的复合型高级专门人才。通过系统的专业教育，学生将具备国家治理现代化、政治学、公共行政学、公共政策、应急管理、人工智能等方面的基本理论与专门知识，具备扎实的学术素养和实践能力，能够胜任高等院校、科研机构的教学与科研工作，或在党政机关、企事业单位从事行政管理、政策分析、应急管理与综合保障等专业工作。  </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系统掌握马克思主义基本原理，熟练掌握政治学、行政学、国际政治学和法学的基本理论知识；具备辩证唯物主义和历史唯物主义的基本观点和分析方法；深入了解社会治理与公共服务以及党政管理相关的法律、制度、方针、政策；熟练掌握一门外语；了解公共管理学、政治学、经济学、管理学、社会学、法学和国际政治学等相关学科的发展动态；掌握高级文献检索、资料查询和调查研究的高级方法，善于运用复杂研究工具，具备卓越的科学研究能力和团队建设能力。</w:t>
      </w:r>
      <w:r>
        <w:br/>
      </w:r>
      <w:r>
        <w:br/>
      </w:r>
      <w:r>
        <w:rPr>
          <w:rFonts w:ascii="SimSun" w:hAnsi="SimSun"/>
          <w:b w:val="false"/>
          <w:i w:val="false"/>
          <w:color w:val="000000"/>
          <w:sz w:val="21"/>
        </w:rPr>
        <w:t>科学研究能力与水平的基本要求：</w:t>
      </w:r>
      <w:r>
        <w:br/>
      </w:r>
      <w:r>
        <w:br/>
      </w:r>
      <w:r>
        <w:rPr>
          <w:rFonts w:ascii="SimSun" w:hAnsi="SimSun"/>
          <w:b w:val="false"/>
          <w:i w:val="false"/>
          <w:color w:val="000000"/>
          <w:sz w:val="21"/>
        </w:rPr>
        <w:t xml:space="preserve"> （1）具备扎实而深厚的专业理论基础和较强的评析能力；</w:t>
      </w:r>
      <w:r>
        <w:br/>
      </w:r>
      <w:r>
        <w:br/>
      </w:r>
      <w:r>
        <w:rPr>
          <w:rFonts w:ascii="SimSun" w:hAnsi="SimSun"/>
          <w:b w:val="false"/>
          <w:i w:val="false"/>
          <w:color w:val="000000"/>
          <w:sz w:val="21"/>
        </w:rPr>
        <w:t xml:space="preserve"> （2）对所在二级学科内的前沿理论问题有深入了解，对所在一级学科其他领域的理论问题有基本认识；</w:t>
      </w:r>
      <w:r>
        <w:br/>
      </w:r>
      <w:r>
        <w:br/>
      </w:r>
      <w:r>
        <w:rPr>
          <w:rFonts w:ascii="SimSun" w:hAnsi="SimSun"/>
          <w:b w:val="false"/>
          <w:i w:val="false"/>
          <w:color w:val="000000"/>
          <w:sz w:val="21"/>
        </w:rPr>
        <w:t xml:space="preserve"> （3）能作为本学科领域的学术研究骨干，独立开展专题研究并带动其他人参与学术项目；</w:t>
      </w:r>
      <w:r>
        <w:br/>
      </w:r>
      <w:r>
        <w:br/>
      </w:r>
      <w:r>
        <w:rPr>
          <w:rFonts w:ascii="SimSun" w:hAnsi="SimSun"/>
          <w:b w:val="false"/>
          <w:i w:val="false"/>
          <w:color w:val="000000"/>
          <w:sz w:val="21"/>
        </w:rPr>
        <w:t xml:space="preserve"> （4）能熟练运用第一外语进行原著阅读与专业论文写作；</w:t>
      </w:r>
      <w:r>
        <w:br/>
      </w:r>
      <w:r>
        <w:br/>
      </w:r>
      <w:r>
        <w:rPr>
          <w:rFonts w:ascii="SimSun" w:hAnsi="SimSun"/>
          <w:b w:val="false"/>
          <w:i w:val="false"/>
          <w:color w:val="000000"/>
          <w:sz w:val="21"/>
        </w:rPr>
        <w:t xml:space="preserve"> （5）精通现代科研信息技术与工具应用；</w:t>
      </w:r>
      <w:r>
        <w:br/>
      </w:r>
      <w:r>
        <w:br/>
      </w:r>
      <w:r>
        <w:rPr>
          <w:rFonts w:ascii="SimSun" w:hAnsi="SimSun"/>
          <w:b w:val="false"/>
          <w:i w:val="false"/>
          <w:color w:val="000000"/>
          <w:sz w:val="21"/>
        </w:rPr>
        <w:t xml:space="preserve"> （6）博士学位论文答辩后经修改能达到正式出版水平；</w:t>
      </w:r>
      <w:r>
        <w:br/>
      </w:r>
      <w:r>
        <w:br/>
      </w:r>
      <w:r>
        <w:rPr>
          <w:rFonts w:ascii="SimSun" w:hAnsi="SimSun"/>
          <w:b w:val="false"/>
          <w:i w:val="false"/>
          <w:color w:val="000000"/>
          <w:sz w:val="21"/>
        </w:rPr>
        <w:t xml:space="preserve"> （7）能够在本专业范围内独立开设两门以上基础课及一门以上新开设课程。</w:t>
      </w:r>
    </w:p>
    <w:p>
      <w:pPr>
        <w:spacing w:after="0"/>
        <w:ind w:left="0"/>
        <w:jc w:val="left"/>
      </w:pPr>
      <w:r>
        <w:drawing>
          <wp:inline distT="0" distB="0" distL="0" distR="0">
            <wp:extent cx="50630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博期间必须修满教学计划规定的175学分（含实践学分不低于26.5学分；含美育学分不少于2学分，其中至少在“美学和艺术史论类”或“艺术鉴赏和评论类”课程中修读1学分，并至少参与一项艺术实践活动；劳动教育不少于32学时，并满足劳动周教育要求），包括通识教育课程43学分（其中研究生学位课2学分）、全球领导力课程63学分、本研融通衔接课程25学分、硕博高阶课程模块30学分，满足融合创新能力模块要求的修读。</w:t>
      </w:r>
      <w:r>
        <w:br/>
      </w:r>
      <w:r>
        <w:br/>
      </w:r>
      <w:r>
        <w:rPr>
          <w:rFonts w:ascii="SimSun" w:hAnsi="SimSun"/>
          <w:b w:val="false"/>
          <w:i w:val="false"/>
          <w:color w:val="000000"/>
          <w:sz w:val="21"/>
        </w:rPr>
        <w:t>其中，本科学段需要完成139学分，包括通识教育课程41学分、全球领导力课程63学分，同时满足融合创新能力模块要求的修读。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r>
        <w:br/>
      </w:r>
      <w:r>
        <w:br/>
      </w:r>
      <w:r>
        <w:rPr>
          <w:rFonts w:ascii="SimSun" w:hAnsi="SimSun"/>
          <w:b w:val="false"/>
          <w:i w:val="false"/>
          <w:color w:val="000000"/>
          <w:sz w:val="21"/>
        </w:rPr>
        <w:t xml:space="preserve">四年级结束时，如达到学位要求者授予管理学学士学位。 </w:t>
      </w:r>
      <w:r>
        <w:br/>
      </w:r>
      <w:r>
        <w:br/>
      </w:r>
      <w:r>
        <w:rPr>
          <w:rFonts w:ascii="SimSun" w:hAnsi="SimSun"/>
          <w:b w:val="false"/>
          <w:i w:val="false"/>
          <w:color w:val="000000"/>
          <w:sz w:val="21"/>
        </w:rPr>
        <w:t xml:space="preserve">（二）研究生学位 </w:t>
      </w:r>
      <w:r>
        <w:br/>
      </w:r>
      <w:r>
        <w:br/>
      </w:r>
      <w:r>
        <w:rPr>
          <w:rFonts w:ascii="SimSun" w:hAnsi="SimSun"/>
          <w:b w:val="false"/>
          <w:i w:val="false"/>
          <w:color w:val="000000"/>
          <w:sz w:val="21"/>
        </w:rPr>
        <w:t xml:space="preserve">1、达到博士学位要求者授予管理学博士学位。 </w:t>
      </w:r>
      <w:r>
        <w:br/>
      </w:r>
      <w:r>
        <w:br/>
      </w:r>
      <w:r>
        <w:rPr>
          <w:rFonts w:ascii="SimSun" w:hAnsi="SimSun"/>
          <w:b w:val="false"/>
          <w:i w:val="false"/>
          <w:color w:val="000000"/>
          <w:sz w:val="21"/>
        </w:rPr>
        <w:t>（1）博士学位申请人提出学位论文答辩申请时，必须已修满学校规定的学分；所有修读课程成绩合格，其中学位课程平均绩点原则上不低于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（2）具体参照《复旦大学学位授予工作细则》《复旦大学博士学位基本要求》或所属一级学科或专业学位类别的《学位授予标准》及院系相关文件规定执行。</w:t>
      </w:r>
      <w:r>
        <w:br/>
      </w:r>
      <w:r>
        <w:br/>
      </w:r>
      <w:r>
        <w:rPr>
          <w:rFonts w:ascii="SimSun" w:hAnsi="SimSun"/>
          <w:b w:val="false"/>
          <w:i w:val="false"/>
          <w:color w:val="000000"/>
          <w:sz w:val="21"/>
        </w:rPr>
        <w:t>2、研究生学段主动退出和博士生资格考核不合格退出本博融通计划的学生，需按照公共管理本硕融通培养方案修读课程，如达到硕士学位要求者授予管理学硕士学位。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r>
        <w:br/>
      </w:r>
      <w:r>
        <w:br/>
      </w:r>
      <w:r>
        <w:rPr>
          <w:rFonts w:ascii="SimSun" w:hAnsi="SimSun"/>
          <w:b w:val="false"/>
          <w:i w:val="false"/>
          <w:color w:val="000000"/>
          <w:sz w:val="21"/>
        </w:rPr>
        <w:t xml:space="preserve">以3门高难度、大学分的荣誉课程为基础建立了本研融通的专业核心课程体系，以学科领域为横、课程内容梯度为纵建立了难度逐级提升的本研融通的专业进阶课程体系。                              </w:t>
      </w:r>
      <w:r>
        <w:br/>
      </w:r>
      <w:r>
        <w:br/>
      </w:r>
      <w:r>
        <w:rPr>
          <w:rFonts w:ascii="SimSun" w:hAnsi="SimSun"/>
          <w:b w:val="false"/>
          <w:i w:val="false"/>
          <w:color w:val="000000"/>
          <w:sz w:val="21"/>
        </w:rPr>
        <w:t xml:space="preserve">2.科研训练体系                                        </w:t>
      </w:r>
      <w:r>
        <w:br/>
      </w:r>
      <w:r>
        <w:br/>
      </w:r>
      <w:r>
        <w:rPr>
          <w:rFonts w:ascii="SimSun" w:hAnsi="SimSun"/>
          <w:b w:val="false"/>
          <w:i w:val="false"/>
          <w:color w:val="000000"/>
          <w:sz w:val="21"/>
        </w:rPr>
        <w:t>本博导师组式学术创新训练体系旨在整合优质学术资源，推动学生课堂外学术参与、学术训练制度化、规范化，促进本博融通轨道学生熟悉研究规范，培养研究兴趣，提升科研能力，构建全链条长周期学术科研培养支持体系。</w:t>
      </w:r>
      <w:r>
        <w:br/>
      </w:r>
      <w:r>
        <w:br/>
      </w:r>
      <w:r>
        <w:rPr>
          <w:rFonts w:ascii="SimSun" w:hAnsi="SimSun"/>
          <w:b w:val="false"/>
          <w:i w:val="false"/>
          <w:color w:val="000000"/>
          <w:sz w:val="21"/>
        </w:rPr>
        <w:t>·本科阶段培养设计</w:t>
      </w:r>
      <w:r>
        <w:br/>
      </w:r>
      <w:r>
        <w:br/>
      </w:r>
      <w:r>
        <w:rPr>
          <w:rFonts w:ascii="SimSun" w:hAnsi="SimSun"/>
          <w:b w:val="false"/>
          <w:i w:val="false"/>
          <w:color w:val="000000"/>
          <w:sz w:val="21"/>
        </w:rPr>
        <w:t>本科阶段将FDUROP（复旦大学本科生学术研究资助计划）、国务学院“薪火计划”列为本博融通轨道学生必修项目。学生可择其一进行修读。</w:t>
      </w:r>
      <w:r>
        <w:br/>
      </w:r>
      <w:r>
        <w:br/>
      </w:r>
      <w:r>
        <w:rPr>
          <w:rFonts w:ascii="SimSun" w:hAnsi="SimSun"/>
          <w:b w:val="false"/>
          <w:i w:val="false"/>
          <w:color w:val="000000"/>
          <w:sz w:val="21"/>
        </w:rPr>
        <w:t>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w:t>
      </w:r>
      <w:r>
        <w:br/>
      </w:r>
      <w:r>
        <w:br/>
      </w:r>
      <w:r>
        <w:rPr>
          <w:rFonts w:ascii="SimSun" w:hAnsi="SimSun"/>
          <w:b w:val="false"/>
          <w:i w:val="false"/>
          <w:color w:val="000000"/>
          <w:sz w:val="21"/>
        </w:rPr>
        <w:t>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w:t>
      </w:r>
      <w:r>
        <w:br/>
      </w:r>
      <w:r>
        <w:br/>
      </w:r>
      <w:r>
        <w:rPr>
          <w:rFonts w:ascii="SimSun" w:hAnsi="SimSun"/>
          <w:b w:val="false"/>
          <w:i w:val="false"/>
          <w:color w:val="000000"/>
          <w:sz w:val="21"/>
        </w:rPr>
        <w:t>修读方式二：学生在本科阶段第三学年末或第四学年初规定时间前至少完成1项国务“薪火计划”教师课题（一年期以上）。完成认定以教师课题负责人出具的证明材料为准。</w:t>
      </w:r>
      <w:r>
        <w:br/>
      </w:r>
      <w:r>
        <w:br/>
      </w: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r>
        <w:br/>
      </w:r>
      <w:r>
        <w:br/>
      </w:r>
      <w:r>
        <w:rPr>
          <w:rFonts w:ascii="SimSun" w:hAnsi="SimSun"/>
          <w:b w:val="false"/>
          <w:i w:val="false"/>
          <w:color w:val="000000"/>
          <w:sz w:val="21"/>
        </w:rPr>
        <w:t>·博士研究生阶段培养设计</w:t>
      </w:r>
      <w:r>
        <w:br/>
      </w:r>
      <w:r>
        <w:br/>
      </w:r>
      <w:r>
        <w:rPr>
          <w:rFonts w:ascii="SimSun" w:hAnsi="SimSun"/>
          <w:b w:val="false"/>
          <w:i w:val="false"/>
          <w:color w:val="000000"/>
          <w:sz w:val="21"/>
        </w:rPr>
        <w:t>博士研究生阶段将参与学院重大科研项目作为本博融通轨道学生必修项目。学院重大科研项目具体认定标准由学院另行规定。</w:t>
      </w: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（63学分,本科要求63学分）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（29学分,本科要求29学分）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包括本博学术创新衔接课程包，博士学术创新高阶课程模块，按路径要求修读课程。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国务学院本博融通课程（55学分）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I.本博学术创新衔接课程包（25学分）。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公共科技政策</w:t>
            </w:r>
            <w:r>
              <w:br/>
            </w:r>
            <w:r>
              <w:br/>
            </w:r>
            <w:r>
              <w:rPr>
                <w:rFonts w:ascii="SimSun" w:hAnsi="SimSun"/>
                <w:b w:val="false"/>
                <w:i w:val="false"/>
                <w:color w:val="000000"/>
                <w:sz w:val="21"/>
              </w:rPr>
              <w:t>Public Policy for Science and Technology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社会组织管理</w:t>
            </w:r>
            <w:r>
              <w:br/>
            </w:r>
            <w:r>
              <w:br/>
            </w:r>
            <w:r>
              <w:rPr>
                <w:rFonts w:ascii="SimSun" w:hAnsi="SimSun"/>
                <w:b w:val="false"/>
                <w:i w:val="false"/>
                <w:color w:val="000000"/>
                <w:sz w:val="21"/>
              </w:rPr>
              <w:t>Social Organization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公共卫生政策</w:t>
            </w:r>
            <w:r>
              <w:br/>
            </w:r>
            <w:r>
              <w:br/>
            </w:r>
            <w:r>
              <w:rPr>
                <w:rFonts w:ascii="SimSun" w:hAnsi="SimSun"/>
                <w:b w:val="false"/>
                <w:i w:val="false"/>
                <w:color w:val="000000"/>
                <w:sz w:val="21"/>
              </w:rPr>
              <w:t>Health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人口与社会保障经济学</w:t>
            </w:r>
            <w:r>
              <w:br/>
            </w:r>
            <w:r>
              <w:br/>
            </w:r>
            <w:r>
              <w:rPr>
                <w:rFonts w:ascii="SimSun" w:hAnsi="SimSun"/>
                <w:b w:val="false"/>
                <w:i w:val="false"/>
                <w:color w:val="000000"/>
                <w:sz w:val="21"/>
              </w:rPr>
              <w:t>Demography and Economics of Social Security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产业经济学概论</w:t>
            </w:r>
            <w:r>
              <w:br/>
            </w:r>
            <w:r>
              <w:br/>
            </w:r>
            <w:r>
              <w:rPr>
                <w:rFonts w:ascii="SimSun" w:hAnsi="SimSun"/>
                <w:b w:val="false"/>
                <w:i w:val="false"/>
                <w:color w:val="000000"/>
                <w:sz w:val="21"/>
              </w:rPr>
              <w:t>General Survey of Industrial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GEEC10226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社会政策与社会治理</w:t>
            </w:r>
            <w:r>
              <w:br/>
            </w:r>
            <w:r>
              <w:br/>
            </w:r>
            <w:r>
              <w:rPr>
                <w:rFonts w:ascii="SimSun" w:hAnsi="SimSun"/>
                <w:b w:val="false"/>
                <w:i w:val="false"/>
                <w:color w:val="000000"/>
                <w:sz w:val="21"/>
              </w:rPr>
              <w:t>Social Policy and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公共数据利用与治理</w:t>
            </w:r>
            <w:r>
              <w:br/>
            </w:r>
            <w:r>
              <w:br/>
            </w:r>
            <w:r>
              <w:rPr>
                <w:rFonts w:ascii="SimSun" w:hAnsi="SimSun"/>
                <w:b w:val="false"/>
                <w:i w:val="false"/>
                <w:color w:val="000000"/>
                <w:sz w:val="21"/>
              </w:rPr>
              <w:t>Utilization and Governance of Public Data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w:t>
            </w:r>
            <w:r>
              <w:br/>
            </w:r>
            <w:r>
              <w:br/>
            </w:r>
            <w:r>
              <w:rPr>
                <w:rFonts w:ascii="SimSun" w:hAnsi="SimSun"/>
                <w:b w:val="false"/>
                <w:i w:val="false"/>
                <w:color w:val="000000"/>
                <w:sz w:val="21"/>
              </w:rPr>
              <w:t>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环境政策</w:t>
            </w:r>
            <w:r>
              <w:br/>
            </w:r>
            <w:r>
              <w:br/>
            </w:r>
            <w:r>
              <w:rPr>
                <w:rFonts w:ascii="SimSun" w:hAnsi="SimSun"/>
                <w:b w:val="false"/>
                <w:i w:val="false"/>
                <w:color w:val="000000"/>
                <w:sz w:val="21"/>
              </w:rPr>
              <w:t>Environmental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制度分析</w:t>
            </w:r>
            <w:r>
              <w:br/>
            </w:r>
            <w:r>
              <w:br/>
            </w:r>
            <w:r>
              <w:rPr>
                <w:rFonts w:ascii="SimSun" w:hAnsi="SimSun"/>
                <w:b w:val="false"/>
                <w:i w:val="false"/>
                <w:color w:val="000000"/>
                <w:sz w:val="21"/>
              </w:rPr>
              <w:t>Institutional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II.博士学术创新高阶课程模块（30学分）
      </w:t>
      </w:r>
    </w:p>
    <w:tbl>
      <w:tblPr>
        <w:tblW w:w="0" w:type="auto"/>
        <w:tblCellSpacing w:w="0" w:type="auto"/>
        <w:tblBorders>
          <w:top w:val="none"/>
          <w:left w:val="none"/>
          <w:bottom w:val="none"/>
          <w:right w:val="none"/>
          <w:insideH w:val="none"/>
          <w:insideV w:val="none"/>
        </w:tblBorders>
      </w:tblPr>
      <w:tblGrid>
        <w:gridCol w:w="3184"/>
        <w:gridCol w:w="795"/>
        <w:gridCol w:w="795"/>
        <w:gridCol w:w="1114"/>
        <w:gridCol w:w="1845"/>
        <w:gridCol w:w="796"/>
        <w:gridCol w:w="796"/>
        <w:gridCol w:w="796"/>
        <w:gridCol w:w="805"/>
        <w:gridCol w:w="1115"/>
        <w:gridCol w:w="1593"/>
      </w:tblGrid>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马克思主义政治学经典文献选读</w:t>
            </w:r>
            <w:r>
              <w:br/>
            </w:r>
            <w:r>
              <w:br/>
            </w:r>
            <w:r>
              <w:rPr>
                <w:rFonts w:ascii="SimSun" w:hAnsi="SimSun"/>
                <w:b w:val="false"/>
                <w:i w:val="false"/>
                <w:color w:val="000000"/>
                <w:sz w:val="21"/>
              </w:rPr>
              <w:t>Selected Readings of Classic Literature on Marxist Political Science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当代中国政治行政经典文献选读</w:t>
            </w:r>
            <w:r>
              <w:br/>
            </w:r>
            <w:r>
              <w:br/>
            </w:r>
            <w:r>
              <w:rPr>
                <w:rFonts w:ascii="SimSun" w:hAnsi="SimSun"/>
                <w:b w:val="false"/>
                <w:i w:val="false"/>
                <w:color w:val="000000"/>
                <w:sz w:val="21"/>
              </w:rPr>
              <w:t>Classic Literature on Contemporary Chinese Politics and Administration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Essay Writing</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比较公共行政专题研究</w:t>
            </w:r>
            <w:r>
              <w:br/>
            </w:r>
            <w:r>
              <w:br/>
            </w:r>
            <w:r>
              <w:rPr>
                <w:rFonts w:ascii="SimSun" w:hAnsi="SimSun"/>
                <w:b w:val="false"/>
                <w:i w:val="false"/>
                <w:color w:val="000000"/>
                <w:sz w:val="21"/>
              </w:rPr>
              <w:t>Comparative Public Administration Special Topics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MPA60001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11,12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公共管理前沿理论</w:t>
            </w:r>
            <w:r>
              <w:br/>
            </w:r>
            <w:r>
              <w:br/>
            </w:r>
            <w:r>
              <w:rPr>
                <w:rFonts w:ascii="SimSun" w:hAnsi="SimSun"/>
                <w:b w:val="false"/>
                <w:i w:val="false"/>
                <w:color w:val="000000"/>
                <w:sz w:val="21"/>
              </w:rPr>
              <w:t>Frontier Theories of Public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数字时代的政府治理</w:t>
            </w:r>
            <w:r>
              <w:br/>
            </w:r>
            <w:r>
              <w:br/>
            </w:r>
            <w:r>
              <w:rPr>
                <w:rFonts w:ascii="SimSun" w:hAnsi="SimSun"/>
                <w:b w:val="false"/>
                <w:i w:val="false"/>
                <w:color w:val="000000"/>
                <w:sz w:val="21"/>
              </w:rPr>
              <w:t>Governance in the Digital Era</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当代中国行政专题研究</w:t>
            </w:r>
            <w:r>
              <w:br/>
            </w:r>
            <w:r>
              <w:br/>
            </w:r>
            <w:r>
              <w:rPr>
                <w:rFonts w:ascii="SimSun" w:hAnsi="SimSun"/>
                <w:b w:val="false"/>
                <w:i w:val="false"/>
                <w:color w:val="000000"/>
                <w:sz w:val="21"/>
              </w:rPr>
              <w:t>Advanced Studies on the Contemporary Chinese Public Administration Systems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政府运行保障管理专题研究</w:t>
            </w:r>
            <w:r>
              <w:br/>
            </w:r>
            <w:r>
              <w:br/>
            </w:r>
            <w:r>
              <w:rPr>
                <w:rFonts w:ascii="SimSun" w:hAnsi="SimSun"/>
                <w:b w:val="false"/>
                <w:i w:val="false"/>
                <w:color w:val="000000"/>
                <w:sz w:val="21"/>
              </w:rPr>
              <w:t>Advanced Studies on Government Operations and Supply Chain Management</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应急管理专题研究</w:t>
            </w:r>
            <w:r>
              <w:br/>
            </w:r>
            <w:r>
              <w:br/>
            </w:r>
            <w:r>
              <w:rPr>
                <w:rFonts w:ascii="SimSun" w:hAnsi="SimSun"/>
                <w:b w:val="false"/>
                <w:i w:val="false"/>
                <w:color w:val="000000"/>
                <w:sz w:val="21"/>
              </w:rPr>
              <w:t>Advanced Studies on Emergency Management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MANA80001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数字公共治理专题研究</w:t>
            </w:r>
            <w:r>
              <w:br/>
            </w:r>
            <w:r>
              <w:br/>
            </w:r>
            <w:r>
              <w:rPr>
                <w:rFonts w:ascii="SimSun" w:hAnsi="SimSun"/>
                <w:b w:val="false"/>
                <w:i w:val="false"/>
                <w:color w:val="000000"/>
                <w:sz w:val="21"/>
              </w:rPr>
              <w:t>Advanced Studies on Digital Public Governance Research</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全球治理前沿专题</w:t>
            </w:r>
            <w:r>
              <w:br/>
            </w:r>
            <w:r>
              <w:br/>
            </w:r>
            <w:r>
              <w:rPr>
                <w:rFonts w:ascii="SimSun" w:hAnsi="SimSun"/>
                <w:b w:val="false"/>
                <w:i w:val="false"/>
                <w:color w:val="000000"/>
                <w:sz w:val="21"/>
              </w:rPr>
              <w:t>Advanced Studies on Global Governance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城市治理研究专题</w:t>
            </w:r>
            <w:r>
              <w:br/>
            </w:r>
            <w:r>
              <w:br/>
            </w:r>
            <w:r>
              <w:rPr>
                <w:rFonts w:ascii="SimSun" w:hAnsi="SimSun"/>
                <w:b w:val="false"/>
                <w:i w:val="false"/>
                <w:color w:val="000000"/>
                <w:sz w:val="21"/>
              </w:rPr>
              <w:t>Urban governance analysis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公共经济学专题研究</w:t>
            </w:r>
            <w:r>
              <w:br/>
            </w:r>
            <w:r>
              <w:br/>
            </w:r>
            <w:r>
              <w:rPr>
                <w:rFonts w:ascii="SimSun" w:hAnsi="SimSun"/>
                <w:b w:val="false"/>
                <w:i w:val="false"/>
                <w:color w:val="000000"/>
                <w:sz w:val="21"/>
              </w:rPr>
              <w:t>Advanced Studies on Public Economics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科技政策专题研究</w:t>
            </w:r>
            <w:r>
              <w:br/>
            </w:r>
            <w:r>
              <w:br/>
            </w:r>
            <w:r>
              <w:rPr>
                <w:rFonts w:ascii="SimSun" w:hAnsi="SimSun"/>
                <w:b w:val="false"/>
                <w:i w:val="false"/>
                <w:color w:val="000000"/>
                <w:sz w:val="21"/>
              </w:rPr>
              <w:t>Advanced Studies on Science and Innovation Policy</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公共管理伦理专题研究</w:t>
            </w:r>
            <w:r>
              <w:br/>
            </w:r>
            <w:r>
              <w:br/>
            </w:r>
            <w:r>
              <w:rPr>
                <w:rFonts w:ascii="SimSun" w:hAnsi="SimSun"/>
                <w:b w:val="false"/>
                <w:i w:val="false"/>
                <w:color w:val="000000"/>
                <w:sz w:val="21"/>
              </w:rPr>
              <w:t>Monographic Study on Public Management Ethics</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MANA80002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中国式现代化研究</w:t>
            </w:r>
            <w:r>
              <w:br/>
            </w:r>
            <w:r>
              <w:br/>
            </w:r>
            <w:r>
              <w:rPr>
                <w:rFonts w:ascii="SimSun" w:hAnsi="SimSun"/>
                <w:b w:val="false"/>
                <w:i w:val="false"/>
                <w:color w:val="000000"/>
                <w:sz w:val="21"/>
              </w:rPr>
              <w:t>Research on the Chinese Path to Modernization</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社会科学数据分析</w:t>
            </w:r>
            <w:r>
              <w:br/>
            </w:r>
            <w:r>
              <w:br/>
            </w:r>
            <w:r>
              <w:rPr>
                <w:rFonts w:ascii="SimSun" w:hAnsi="SimSun"/>
                <w:b w:val="false"/>
                <w:i w:val="false"/>
                <w:color w:val="000000"/>
                <w:sz w:val="21"/>
              </w:rPr>
              <w:t>Statistical Analysis in Social Science</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13,14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博导师组式学术创新训练体系旨在整合优质学术资源，推动学生课堂外学术参与、学术训练制度化、规范化，促进本博融通轨道学生熟悉研究规范，培养研究兴趣，提升科研能力，构建全链条长周期学术科研培养支持体系。
       </w:t>
      </w:r>
      <w:r>
        <w:br/>
      </w:r>
      <w:r>
        <w:rPr>
          <w:rFonts w:ascii="SimSun" w:hAnsi="SimSun"/>
          <w:b w:val="false"/>
          <w:i w:val="false"/>
          <w:color w:val="000000"/>
          <w:sz w:val="21"/>
        </w:rPr>
        <w:t xml:space="preserve">
       </w:t>
      </w:r>
      <w:r>
        <w:br/>
      </w:r>
      <w:r>
        <w:rPr>
          <w:rFonts w:ascii="SimSun" w:hAnsi="SimSun"/>
          <w:b w:val="false"/>
          <w:i w:val="false"/>
          <w:color w:val="000000"/>
          <w:sz w:val="21"/>
        </w:rPr>
        <w:t xml:space="preserve">1.本科阶段培养设计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本科阶段将FDUROP（复旦大学本科生学术研究资助计划）、国务学院“薪火计划”列为本博融通轨道学生必修项目。学生可择其一进行修读。
       </w:t>
      </w:r>
      <w:r>
        <w:br/>
      </w:r>
      <w:r>
        <w:rPr>
          <w:rFonts w:ascii="SimSun" w:hAnsi="SimSun"/>
          <w:b w:val="false"/>
          <w:i w:val="false"/>
          <w:color w:val="000000"/>
          <w:sz w:val="21"/>
        </w:rPr>
        <w:t xml:space="preserve">
       </w:t>
      </w:r>
      <w:r>
        <w:br/>
      </w:r>
      <w:r>
        <w:rPr>
          <w:rFonts w:ascii="SimSun" w:hAnsi="SimSun"/>
          <w:b w:val="false"/>
          <w:i w:val="false"/>
          <w:color w:val="000000"/>
          <w:sz w:val="21"/>
        </w:rPr>
        <w:t xml:space="preserve">FDUROP，全称为Fudan Undergraduate Research Opportunities Program，即复旦大学本科生学术研究资助计划，旨在资助学有余力的本科生开展课外学术实践，强化学生的专业能力和探索精神，包括䇹政、望道、曦源、登辉等项目；国务学院“薪火计划”旨在提高本科生科研能力，通过教师定期发布课题，本科生自主报名加入课题组担任研究助理，教师/学院提供配套资金支持方式建立起鼓励支持本科生参与教师科研项目的制度机制。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一：学生在本科阶段第三学年末或第四学年初规定时间前，以项目负责人或负责人之外项目排名第二的成员身份至少完成1项FDUROP项目立项。修读认定以项目立项证明材料为准，项目能否设置负责人外成员参照学校政策安排。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修读方式二：学生在本科阶段第三学年末或第四学年初规定时间前至少完成1项国务“薪火计划”教师课题（一年期以上）。完成认定以教师课题负责人出具的证明材料为准。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
       </w:t>
      </w:r>
      <w:r>
        <w:br/>
      </w:r>
      <w:r>
        <w:rPr>
          <w:rFonts w:ascii="SimSun" w:hAnsi="SimSun"/>
          <w:b w:val="false"/>
          <w:i w:val="false"/>
          <w:color w:val="000000"/>
          <w:sz w:val="21"/>
        </w:rPr>
        <w:t xml:space="preserve">
       </w:t>
      </w:r>
      <w:r>
        <w:br/>
      </w:r>
      <w:r>
        <w:rPr>
          <w:rFonts w:ascii="SimSun" w:hAnsi="SimSun"/>
          <w:b w:val="false"/>
          <w:i w:val="false"/>
          <w:color w:val="000000"/>
          <w:sz w:val="21"/>
        </w:rPr>
        <w:t xml:space="preserve">2.博士研究生阶段培养设计
       </w:t>
      </w:r>
      <w:r>
        <w:br/>
      </w:r>
      <w:r>
        <w:rPr>
          <w:rFonts w:ascii="SimSun" w:hAnsi="SimSun"/>
          <w:b w:val="false"/>
          <w:i w:val="false"/>
          <w:color w:val="000000"/>
          <w:sz w:val="21"/>
        </w:rPr>
        <w:t xml:space="preserve">
       </w:t>
      </w:r>
      <w:r>
        <w:br/>
      </w:r>
      <w:r>
        <w:rPr>
          <w:rFonts w:ascii="SimSun" w:hAnsi="SimSun"/>
          <w:b w:val="false"/>
          <w:i w:val="false"/>
          <w:color w:val="000000"/>
          <w:sz w:val="21"/>
        </w:rPr>
        <w:t xml:space="preserve">博士研究生阶段将参与学院重大科研项目作为本博融通轨道学生必修项目。学院重大科研项目具体认定标准由学院另行规定。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FDUROP（复旦大学本科生学术研究资助计划）和国务学院“薪火计划”	 必修2选1
1.FDUROP（复旦大学本科生学术研究资助计划）
第3学年末或第4学年初规定时间前，以项目负责人或负责人之外项目排名第二的成员身份至少完成1项FDUROP项目立项。修读认定以项目立项证明材料为准，项目能否设置负责人外成员参照学校政策安排。
2.国务学院“薪火计划”
第3学年末或第3学年初规定时间前至少完成1项国务“薪火计划”教师课题（一年期以上）。完成认定以教师课题负责人出具的证明材料为准。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本博导师组式学术创新训练体系-博士研究生阶段培养设计
博士研究生阶段将参与学院重大科研项目作为本博融通轨道学生必修项目。学院重大科研项目具体认定标准由学院另行规定。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博士生在校期间至少听取10次学术报告，并在院系或校级甚至全国性的学术研讨会、学术沙龙或其他公开学术讨论场合作4次学术报告。并作好记录和小结，送交指导老师考核和评分。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参照学校要求，博士生在校期间应参加两个星期以上的教学实践或者公共管理实践。并作好记录和小结，送交指导老师考核和评分。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原则上应到具有世界一流水平的国内外机构进行至少一学期（累计）的学习、研究或联合培养。需具有参加高水平国际学术会议并作报告的经历。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在第11学期初完成（第6学年初和第7学年初有2次申请机会)</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在第13学期初完成（博资考通过一年内应完成开题）详见国务学院论文开题实施细则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在第14学期完成，见国务学院中期考核实施细则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