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2025工商管理-工商管理学本博融通培养方案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管理学院企业管理系前身为工商管理系，始创于1920年，是复旦大学历史最为悠久的系科之一，也是1985年管理学院恢复建院后设置的三大系之一。现有企业管理和东方管理两个博士点，涵盖“组织行为、人力资源与领导学”、“战略管理和企业创业”，以及“国际商务、企业国际化”三个主要学科，以及“战略领导力”和“企业社会责任、ESG”等交叉学科。在上一轮教育部一级学科评估中为A，近年来在国内外顶级期刊发表多篇论文，多位老师担任国内外权威期刊的主编和副主编。工商管理学科坚持做负责任的研究，扎根中国管理实践，致力于构建中国特色管理学理论。</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培养具有良好科学研究素养，扎根中国管理实践，能提出中国特色管理学理论的负责任的管理学学者。工商管理专业专注组织中机器无法替代的两大重要方面：战略管理和人的管理，设三个方向：战略、国际商务、组织行为和人力资源管理。具体研究方向涵盖组织行为、创新创业、人力资源管理、战略领导力、企业国际化、ESG与企业社会责任等。</w:t>
      </w:r>
      <w:r>
        <w:br/>
      </w:r>
      <w:r>
        <w:br/>
      </w:r>
      <w:r>
        <w:rPr>
          <w:rFonts w:ascii="SimSun" w:hAnsi="SimSun"/>
          <w:b w:val="false"/>
          <w:i w:val="false"/>
          <w:color w:val="000000"/>
          <w:sz w:val="21"/>
        </w:rPr>
        <w:t xml:space="preserve">    以塑造学生基本的学术思维（批判性思维）和事业使命（以科学严谨性和实践相关性为目标的、负责任的研究)为目标，本专业将理论研究扎根于企业管理的实践需求，聚焦全球面临的重大挑战问题，以及与国家创新战略等重大发展议题密切相关的企业管理研究议题，以科学哲学和科学研究的实证方法有机结合的培养模式，树立学生做负责任的研究的价值观，夯实定量、定性研究方法基础，学习管理学的理论和前沿，提升科研协作与学术交流的能力，加强语言与文字表达以及人际沟通的能力。通过扎实的学术能力培养和广阔的学术平台托举，本专业培养的博士生不仅能够做出国际前沿、国内重要的管理学研究，也能够为国家的经济和管理、为建设更美好的社会提供理论基础上的对策建议，切实推动企业管理实践及其理论的发展。</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217333" cy="1998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17333" cy="1998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3年级第2学期 2. 卓博项目/硕博项目夏令营</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面试内容：荣誉课程学习情况、综合评价（竞赛、比赛、科研实践情况及专业科研志趣等内容）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笔试科目：英语、专业课一、专业课二</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相对应的本科培养方案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相对应的科硕培养方案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面试内容：荣誉课程学习情况、综合评价（竞赛、比赛、科研实践情况及本专业科研志趣等内容）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工商管理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142</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工商管理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工商管理</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3793067" cy="1286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1286933"/>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 xml:space="preserve">1、  本博融通专业进阶路径：162学分                                                                   </w:t>
      </w:r>
    </w:p>
    <w:p>
      <w:pPr>
        <w:spacing w:after="0"/>
        <w:ind w:left="0"/>
        <w:jc w:val="left"/>
      </w:pPr>
      <w:r>
        <w:rPr>
          <w:rFonts w:ascii="SimSun" w:hAnsi="SimSun"/>
          <w:b w:val="false"/>
          <w:i w:val="false"/>
          <w:color w:val="000000"/>
          <w:sz w:val="21"/>
        </w:rPr>
        <w:t xml:space="preserve">    本路径学生本博期间必须修满教学计划规定的162学分，包括通识教育课程44学分、专业培养课程65学分、专业进阶模38学分、融合创新能力模块15学分的修读。</w:t>
      </w:r>
    </w:p>
    <w:p>
      <w:pPr>
        <w:spacing w:after="0"/>
        <w:ind w:left="0"/>
        <w:jc w:val="left"/>
      </w:pPr>
      <w:r>
        <w:rPr>
          <w:rFonts w:ascii="SimSun" w:hAnsi="SimSun"/>
          <w:b w:val="false"/>
          <w:i w:val="false"/>
          <w:color w:val="000000"/>
          <w:sz w:val="21"/>
        </w:rPr>
        <w:t xml:space="preserve">    其中，本科学段需要完成142学分（含实践学分不低于25学分；含美育学分不少于2学分，其中至少在“美学和艺术史论类”或“艺术鉴赏和评论类”课程中修读1学分，并至少参与一项艺术实践活动；劳动教育不少于32学时，并满足劳动周教育要求），包括通识教育课程44学分、专业培养课程65学分、专业进阶模块修读26学分、融合创新能力模块7学分。                                                                     </w:t>
      </w:r>
    </w:p>
    <w:p>
      <w:pPr>
        <w:spacing w:after="0"/>
        <w:ind w:left="0"/>
        <w:jc w:val="left"/>
      </w:pPr>
      <w:r>
        <w:rPr>
          <w:rFonts w:ascii="SimSun" w:hAnsi="SimSun"/>
          <w:b w:val="false"/>
          <w:i w:val="false"/>
          <w:color w:val="000000"/>
          <w:sz w:val="21"/>
        </w:rPr>
        <w:t xml:space="preserve">2、  本科荣誉项目：163学分                                                                   </w:t>
      </w:r>
    </w:p>
    <w:p>
      <w:pPr>
        <w:spacing w:after="0"/>
        <w:ind w:left="0"/>
        <w:jc w:val="left"/>
      </w:pPr>
      <w:r>
        <w:rPr>
          <w:rFonts w:ascii="SimSun" w:hAnsi="SimSun"/>
          <w:b w:val="false"/>
          <w:i w:val="false"/>
          <w:color w:val="000000"/>
          <w:sz w:val="21"/>
        </w:rPr>
        <w:t xml:space="preserve">   在专业进阶路径基础上，修读荣誉课程不少于8门课。荣誉项目课程设置和修读要求请见管理学院“本科荣誉项目”实施方案。下载地址：https://jwc.fudan.edu.cn/（复旦大学教务处）专业培养-常用文档。                                                                  </w:t>
      </w:r>
    </w:p>
    <w:p>
      <w:pPr>
        <w:spacing w:after="0"/>
        <w:ind w:left="0"/>
        <w:jc w:val="left"/>
      </w:pPr>
      <w:r>
        <w:rPr>
          <w:rFonts w:ascii="SimSun" w:hAnsi="SimSun"/>
          <w:b w:val="false"/>
          <w:i w:val="false"/>
          <w:color w:val="000000"/>
          <w:sz w:val="21"/>
        </w:rPr>
        <w:t xml:space="preserve">3、 跨学科发展路径：177学分                                                               </w:t>
      </w:r>
    </w:p>
    <w:p>
      <w:pPr>
        <w:spacing w:after="0"/>
        <w:ind w:left="0"/>
        <w:jc w:val="left"/>
      </w:pPr>
      <w:r>
        <w:rPr>
          <w:rFonts w:ascii="SimSun" w:hAnsi="SimSun"/>
          <w:b w:val="false"/>
          <w:i w:val="false"/>
          <w:color w:val="000000"/>
          <w:sz w:val="21"/>
        </w:rPr>
        <w:t xml:space="preserve">    在专业进阶路径或荣誉项目基础上，修读1个跨学科学程（微专业）15学分（可在研究生学段修读），具体要求见教务处网站学程实施方案。                                                                  </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4年级结束时，如达到学士学位要求者授予管理学学士学位。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numPr>
          <w:ilvl w:val="0"/>
          <w:numId w:val="2"/>
        </w:numPr>
        <w:spacing w:after="0"/>
        <w:jc w:val="left"/>
      </w:pPr>
      <w:r>
        <w:rPr>
          <w:rFonts w:ascii="SimSun" w:hAnsi="SimSun"/>
          <w:b w:val="false"/>
          <w:i w:val="false"/>
          <w:color w:val="000000"/>
          <w:sz w:val="21"/>
        </w:rPr>
        <w:t>本科阶段退出本博融通计划的学生，需按照对应的本科培养方案修读课程，或根据此卓研培养方案修读完4年的课程，如达到学士学位要求者授予管理学学士学位。</w:t>
      </w:r>
    </w:p>
    <w:p>
      <w:pPr>
        <w:spacing w:after="0"/>
        <w:ind w:left="0"/>
        <w:jc w:val="left"/>
      </w:pPr>
      <w:r>
        <w:rPr>
          <w:rFonts w:ascii="SimSun" w:hAnsi="SimSun"/>
          <w:b w:val="false"/>
          <w:i w:val="false"/>
          <w:color w:val="000000"/>
          <w:sz w:val="21"/>
        </w:rPr>
        <w:t xml:space="preserve">（二）研究生学位                                                                     </w:t>
      </w:r>
    </w:p>
    <w:p>
      <w:pPr>
        <w:spacing w:after="0"/>
        <w:ind w:left="0"/>
        <w:jc w:val="left"/>
      </w:pPr>
      <w:r>
        <w:rPr>
          <w:rFonts w:ascii="SimSun" w:hAnsi="SimSun"/>
          <w:b w:val="false"/>
          <w:i w:val="false"/>
          <w:color w:val="000000"/>
          <w:sz w:val="21"/>
        </w:rPr>
        <w:t xml:space="preserve">1、 达到博士学位要求者授予管理学博士学位。                                                                  </w:t>
      </w:r>
    </w:p>
    <w:p>
      <w:pPr>
        <w:spacing w:after="0"/>
        <w:ind w:left="0"/>
        <w:jc w:val="left"/>
      </w:pPr>
      <w:r>
        <w:rPr>
          <w:rFonts w:ascii="SimSun" w:hAnsi="SimSun"/>
          <w:b w:val="false"/>
          <w:i w:val="false"/>
          <w:color w:val="000000"/>
          <w:sz w:val="21"/>
        </w:rPr>
        <w:t xml:space="preserve">（1）必须已修满培养方案规定的学分，所有修读课程成绩合格，其中研究生学位课程平均绩点不低于2.5。                                                                  </w:t>
      </w:r>
    </w:p>
    <w:p>
      <w:pPr>
        <w:spacing w:after="0"/>
        <w:ind w:left="0"/>
        <w:jc w:val="left"/>
      </w:pPr>
      <w:r>
        <w:rPr>
          <w:rFonts w:ascii="SimSun" w:hAnsi="SimSun"/>
          <w:b w:val="false"/>
          <w:i w:val="false"/>
          <w:color w:val="000000"/>
          <w:sz w:val="21"/>
        </w:rPr>
        <w:t>（2）文科专业学位需符合以下条件：</w:t>
      </w:r>
    </w:p>
    <w:p>
      <w:pPr>
        <w:spacing w:after="0"/>
        <w:ind w:left="0"/>
        <w:jc w:val="left"/>
      </w:pPr>
      <w:r>
        <w:rPr>
          <w:rFonts w:ascii="SimSun" w:hAnsi="SimSun"/>
          <w:b w:val="false"/>
          <w:i w:val="false"/>
          <w:color w:val="000000"/>
          <w:sz w:val="21"/>
        </w:rPr>
        <w:t xml:space="preserve"> 根据《复旦大学管理学院研究生发表学术论文相关规定》，博士研究生至少在《复旦大学管理学院学位与研究生教育期刊指导目录》发表(含录用)2篇B类或1篇A类，与学位论文内容相关的学术论文。此外，进入《复旦大学管理学院学位与研究生教育期刊指导目录》国际 A-及以上期刊、国内A+期刊第二轮审稿人盲审，学位申请人为第一作者或导师一作本人二作，署名为复旦大学，并经导师同意的学术论文，可以视为A类发文用以学位申请。</w:t>
      </w:r>
    </w:p>
    <w:p>
      <w:pPr>
        <w:spacing w:after="0"/>
        <w:ind w:left="0"/>
        <w:jc w:val="left"/>
      </w:pPr>
      <w:r>
        <w:rPr>
          <w:rFonts w:ascii="SimSun" w:hAnsi="SimSun"/>
          <w:b w:val="false"/>
          <w:i w:val="false"/>
          <w:color w:val="000000"/>
          <w:sz w:val="21"/>
        </w:rPr>
        <w:t xml:space="preserve">  (3）“卓博学员”在研究生学段的课程成绩、科研成果、学位论文等方面综合表现优秀的，经院系评估、推荐和学校审核，毕业时由学校授予“卓博学者”称号。</w:t>
      </w:r>
    </w:p>
    <w:p>
      <w:pPr>
        <w:spacing w:after="0"/>
        <w:ind w:left="0"/>
        <w:jc w:val="left"/>
      </w:pPr>
    </w:p>
    <w:p>
      <w:pPr>
        <w:spacing w:after="0"/>
        <w:ind w:left="0"/>
        <w:jc w:val="left"/>
      </w:pPr>
      <w:r>
        <w:rPr>
          <w:rFonts w:ascii="SimSun" w:hAnsi="SimSun"/>
          <w:b w:val="false"/>
          <w:i w:val="false"/>
          <w:color w:val="000000"/>
          <w:sz w:val="21"/>
        </w:rPr>
        <w:t>2、研究生学段主动退出和博士生资格考核不合格退出本博融通计划的学生，需按照本专业本硕融通培养方案修读课程，如达到硕士学位要求者授予管理学硕士学位。</w:t>
      </w:r>
    </w:p>
    <w:p>
      <w:pPr>
        <w:spacing w:after="0"/>
        <w:ind w:left="0"/>
        <w:jc w:val="left"/>
      </w:pPr>
      <w:r>
        <w:rPr>
          <w:rFonts w:ascii="SimSun" w:hAnsi="SimSun"/>
          <w:b w:val="false"/>
          <w:i w:val="false"/>
          <w:color w:val="000000"/>
          <w:sz w:val="21"/>
        </w:rPr>
        <w:t>（1）必须已修满培养方案规定的学分，所有修读课程成绩合格，其中研究生学位课程平均绩点不低于2.5。</w:t>
      </w:r>
    </w:p>
    <w:p>
      <w:pPr>
        <w:spacing w:after="0"/>
        <w:ind w:left="0"/>
        <w:jc w:val="left"/>
      </w:pPr>
      <w:r>
        <w:rPr>
          <w:rFonts w:ascii="SimSun" w:hAnsi="SimSun"/>
          <w:b w:val="false"/>
          <w:i w:val="false"/>
          <w:color w:val="000000"/>
          <w:sz w:val="21"/>
        </w:rPr>
        <w:t xml:space="preserve">（2）鼓励但不要求必须发表学术论文。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793067" cy="1811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93067" cy="1811867"/>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p>
    <w:p>
      <w:pPr>
        <w:spacing w:after="0"/>
        <w:ind w:left="0"/>
        <w:jc w:val="left"/>
      </w:pPr>
      <w:r>
        <w:rPr>
          <w:rFonts w:ascii="SimSun" w:hAnsi="SimSun"/>
          <w:b w:val="false"/>
          <w:i w:val="false"/>
          <w:color w:val="000000"/>
          <w:sz w:val="21"/>
        </w:rPr>
        <w:t xml:space="preserve">       1.课程体系                                                                   </w:t>
      </w:r>
    </w:p>
    <w:p>
      <w:pPr>
        <w:spacing w:after="0"/>
        <w:ind w:left="0"/>
        <w:jc w:val="left"/>
      </w:pPr>
      <w:r>
        <w:rPr>
          <w:rFonts w:ascii="SimSun" w:hAnsi="SimSun"/>
          <w:b w:val="false"/>
          <w:i w:val="false"/>
          <w:color w:val="000000"/>
          <w:sz w:val="21"/>
        </w:rPr>
        <w:t xml:space="preserve">    以10多门高难度课程为基础建立了本研融通的专业核心课程体系，以学科领域为横、课程内容梯度为纵建立了难度逐级提升的本研融通的专业进阶课程体系。鼓励学生修读荣誉课程。                                                                     </w:t>
      </w:r>
    </w:p>
    <w:p>
      <w:pPr>
        <w:spacing w:after="0"/>
        <w:ind w:left="0"/>
        <w:jc w:val="left"/>
      </w:pPr>
      <w:r>
        <w:rPr>
          <w:rFonts w:ascii="SimSun" w:hAnsi="SimSun"/>
          <w:b w:val="false"/>
          <w:i w:val="false"/>
          <w:color w:val="000000"/>
          <w:sz w:val="21"/>
        </w:rPr>
        <w:t xml:space="preserve">    2.科研训练体系                                                                   </w:t>
      </w:r>
    </w:p>
    <w:p>
      <w:pPr>
        <w:spacing w:after="0"/>
        <w:ind w:left="0"/>
        <w:jc w:val="left"/>
      </w:pPr>
      <w:r>
        <w:rPr>
          <w:rFonts w:ascii="SimSun" w:hAnsi="SimSun"/>
          <w:b w:val="false"/>
          <w:i w:val="false"/>
          <w:color w:val="000000"/>
          <w:sz w:val="21"/>
        </w:rPr>
        <w:t xml:space="preserve">    建立螺旋递进的全周期科研训练体系，配备全员导师，鼓励师生共创，通过复芏计划等项目引导学生在“做中学、学中悟、悟中创”。设立无学分讨论班，引导学生早进课题组轮转，培育兴趣。完成1项复芏计划（FDUROP）项目（䇹政、望道、登辉和曦源），激发创新志趣。     </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研究生政治课程2学分，七大模块6学分。七大模块6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学生应在大类基础课程中修满25学分，修满社会科学类课程（必修管理学院开设的“数学分析AI”、“数学分析AII”、“微观经济学*”、“宏观经济学*”、“会计学*”、“管理学理导论*”和“线性代数I”）。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要求在本专业进阶课程或荣誉课程中修读至少38学分（其中专业进阶I组修读至少16学分，专业进阶II组修读至少10学分,专业进阶III至少12学分）。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必修4学分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研究方法导论</w:t>
            </w:r>
            <w:r>
              <w:br/>
            </w:r>
            <w:r>
              <w:br/>
            </w:r>
            <w:r>
              <w:rPr>
                <w:rFonts w:ascii="SimSun" w:hAnsi="SimSun"/>
                <w:b w:val="false"/>
                <w:i w:val="false"/>
                <w:color w:val="000000"/>
                <w:sz w:val="21"/>
              </w:rPr>
              <w:t>Research Method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管理学经典理论研究</w:t>
            </w:r>
            <w:r>
              <w:br/>
            </w:r>
            <w:r>
              <w:br/>
            </w:r>
            <w:r>
              <w:rPr>
                <w:rFonts w:ascii="SimSun" w:hAnsi="SimSun"/>
                <w:b w:val="false"/>
                <w:i w:val="false"/>
                <w:color w:val="000000"/>
                <w:sz w:val="21"/>
              </w:rPr>
              <w:t>Classical Management Theories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3门选2门
      </w:t>
      </w:r>
    </w:p>
    <w:tbl>
      <w:tblPr>
        <w:tblW w:w="0" w:type="auto"/>
        <w:tblCellSpacing w:w="0" w:type="auto"/>
        <w:tblBorders>
          <w:top w:val="none"/>
          <w:left w:val="none"/>
          <w:bottom w:val="none"/>
          <w:right w:val="none"/>
          <w:insideH w:val="none"/>
          <w:insideV w:val="none"/>
        </w:tblBorders>
      </w:tblPr>
      <w:tblGrid>
        <w:gridCol w:w="3278"/>
        <w:gridCol w:w="808"/>
        <w:gridCol w:w="808"/>
        <w:gridCol w:w="1133"/>
        <w:gridCol w:w="1618"/>
        <w:gridCol w:w="809"/>
        <w:gridCol w:w="809"/>
        <w:gridCol w:w="809"/>
        <w:gridCol w:w="809"/>
        <w:gridCol w:w="1133"/>
        <w:gridCol w:w="1620"/>
      </w:tblGrid>
      <w:tr>
        <w:trPr>
          <w:trHeight w:val="45" w:hRule="atLeast"/>
        </w:trPr>
        <w:tc>
          <w:tcPr>
            <w:tcW w:w="32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企业管理统计方法及应用-微观研究</w:t>
            </w:r>
            <w:r>
              <w:br/>
            </w:r>
            <w:r>
              <w:br/>
            </w:r>
            <w:r>
              <w:rPr>
                <w:rFonts w:ascii="SimSun" w:hAnsi="SimSun"/>
                <w:b w:val="false"/>
                <w:i w:val="false"/>
                <w:color w:val="000000"/>
                <w:sz w:val="21"/>
              </w:rPr>
              <w:t>Statistical Methods and Application in Business Administration-Micro Research</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BA70025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3门选2门 </w:t>
            </w:r>
          </w:p>
        </w:tc>
      </w:tr>
      <w:tr>
        <w:trPr>
          <w:trHeight w:val="45" w:hRule="atLeast"/>
        </w:trPr>
        <w:tc>
          <w:tcPr>
            <w:tcW w:w="32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定性研究方法</w:t>
            </w:r>
            <w:r>
              <w:br/>
            </w:r>
            <w:r>
              <w:br/>
            </w:r>
            <w:r>
              <w:rPr>
                <w:rFonts w:ascii="SimSun" w:hAnsi="SimSun"/>
                <w:b w:val="false"/>
                <w:i w:val="false"/>
                <w:color w:val="000000"/>
                <w:sz w:val="21"/>
              </w:rPr>
              <w:t>Qualitative research methods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BA70027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3门选2门 </w:t>
            </w:r>
          </w:p>
        </w:tc>
      </w:tr>
      <w:tr>
        <w:trPr>
          <w:trHeight w:val="45" w:hRule="atLeast"/>
        </w:trPr>
        <w:tc>
          <w:tcPr>
            <w:tcW w:w="32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企业管理统计方法及应用-宏观研究</w:t>
            </w:r>
            <w:r>
              <w:br/>
            </w:r>
            <w:r>
              <w:br/>
            </w:r>
            <w:r>
              <w:rPr>
                <w:rFonts w:ascii="SimSun" w:hAnsi="SimSun"/>
                <w:b w:val="false"/>
                <w:i w:val="false"/>
                <w:color w:val="000000"/>
                <w:sz w:val="21"/>
              </w:rPr>
              <w:t>Statistical Methods and Application in Business Administration—Macro (Strategy) Research</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BA70026</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3门选2门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选修8学分。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战略管理专题研讨</w:t>
            </w:r>
            <w:r>
              <w:br/>
            </w:r>
            <w:r>
              <w:br/>
            </w:r>
            <w:r>
              <w:rPr>
                <w:rFonts w:ascii="SimSun" w:hAnsi="SimSun"/>
                <w:b w:val="false"/>
                <w:i w:val="false"/>
                <w:color w:val="000000"/>
                <w:sz w:val="21"/>
              </w:rPr>
              <w:t>Strategy Management: Theory and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选修8学分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组织行为学专题研究</w:t>
            </w:r>
            <w:r>
              <w:br/>
            </w:r>
            <w:r>
              <w:br/>
            </w:r>
            <w:r>
              <w:rPr>
                <w:rFonts w:ascii="SimSun" w:hAnsi="SimSun"/>
                <w:b w:val="false"/>
                <w:i w:val="false"/>
                <w:color w:val="000000"/>
                <w:sz w:val="21"/>
              </w:rPr>
              <w:t>Doctoral Seminar in Organizational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选修8学分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战略领导力研究前沿：行为科学的视角</w:t>
            </w:r>
            <w:r>
              <w:br/>
            </w:r>
            <w:r>
              <w:br/>
            </w:r>
            <w:r>
              <w:rPr>
                <w:rFonts w:ascii="SimSun" w:hAnsi="SimSun"/>
                <w:b w:val="false"/>
                <w:i w:val="false"/>
                <w:color w:val="000000"/>
                <w:sz w:val="21"/>
              </w:rPr>
              <w:t>Research on Strategic Leadership: A Behavioral Approach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选修8学分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创新创业理论前沿研究</w:t>
            </w:r>
            <w:r>
              <w:br/>
            </w:r>
            <w:r>
              <w:br/>
            </w:r>
            <w:r>
              <w:rPr>
                <w:rFonts w:ascii="SimSun" w:hAnsi="SimSun"/>
                <w:b w:val="false"/>
                <w:i w:val="false"/>
                <w:color w:val="000000"/>
                <w:sz w:val="21"/>
              </w:rPr>
              <w:t>Frontier Research on Innovation and Entrepreneurship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选修8学分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人力资源管理研究</w:t>
            </w:r>
            <w:r>
              <w:br/>
            </w:r>
            <w:r>
              <w:br/>
            </w:r>
            <w:r>
              <w:rPr>
                <w:rFonts w:ascii="SimSun" w:hAnsi="SimSun"/>
                <w:b w:val="false"/>
                <w:i w:val="false"/>
                <w:color w:val="000000"/>
                <w:sz w:val="21"/>
              </w:rPr>
              <w:t>STUDY ON 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选修8学分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社会网络理论与研究方法</w:t>
            </w:r>
            <w:r>
              <w:br/>
            </w:r>
            <w:r>
              <w:br/>
            </w:r>
            <w:r>
              <w:rPr>
                <w:rFonts w:ascii="SimSun" w:hAnsi="SimSun"/>
                <w:b w:val="false"/>
                <w:i w:val="false"/>
                <w:color w:val="000000"/>
                <w:sz w:val="21"/>
              </w:rPr>
              <w:t>Social Network：Theory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选修8学分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东西方管理比较与东方管理实务</w:t>
            </w:r>
            <w:r>
              <w:br/>
            </w:r>
            <w:r>
              <w:br/>
            </w:r>
            <w:r>
              <w:rPr>
                <w:rFonts w:ascii="SimSun" w:hAnsi="SimSun"/>
                <w:b w:val="false"/>
                <w:i w:val="false"/>
                <w:color w:val="000000"/>
                <w:sz w:val="21"/>
              </w:rPr>
              <w:t>Comparative Analysis of Oriental and Western Management</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BA70012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选修8学分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 （跨学科融合课）</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进阶II至少修读10学分，其中A组至少修读6学分，B组和C组任选，修读0-4学分。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A组（4门选3门）</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4选3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4选3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4选3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4选3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Real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管理综合课程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专业进阶III   研究生阶段课程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进阶III至少修读12学分，其中A组修读2学分，B组必修10学分。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2选1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经济与管理中的定量方法</w:t>
            </w:r>
            <w:r>
              <w:br/>
            </w:r>
            <w:r>
              <w:br/>
            </w:r>
            <w:r>
              <w:rPr>
                <w:rFonts w:ascii="SimSun" w:hAnsi="SimSun"/>
                <w:b w:val="false"/>
                <w:i w:val="false"/>
                <w:color w:val="000000"/>
                <w:sz w:val="21"/>
              </w:rPr>
              <w:t>Quantitative Methods in Economy and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2选1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行为研究方法</w:t>
            </w:r>
            <w:r>
              <w:br/>
            </w:r>
            <w:r>
              <w:br/>
            </w:r>
            <w:r>
              <w:rPr>
                <w:rFonts w:ascii="SimSun" w:hAnsi="SimSun"/>
                <w:b w:val="false"/>
                <w:i w:val="false"/>
                <w:color w:val="000000"/>
                <w:sz w:val="21"/>
              </w:rPr>
              <w:t>Behavioral Research Method</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BA50002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2选1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必修10学分。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必修10学分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计量经济学I</w:t>
            </w:r>
            <w:r>
              <w:br/>
            </w:r>
            <w:r>
              <w:br/>
            </w:r>
            <w:r>
              <w:rPr>
                <w:rFonts w:ascii="SimSun" w:hAnsi="SimSun"/>
                <w:b w:val="false"/>
                <w:i w:val="false"/>
                <w:color w:val="000000"/>
                <w:sz w:val="21"/>
              </w:rPr>
              <w:t>Econometrics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必修10学分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管理研究的哲学体系</w:t>
            </w:r>
            <w:r>
              <w:br/>
            </w:r>
            <w:r>
              <w:br/>
            </w:r>
            <w:r>
              <w:rPr>
                <w:rFonts w:ascii="SimSun" w:hAnsi="SimSun"/>
                <w:b w:val="false"/>
                <w:i w:val="false"/>
                <w:color w:val="000000"/>
                <w:sz w:val="21"/>
              </w:rPr>
              <w:t>Philosophy of Management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必修10学分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管理学名家讲座</w:t>
            </w:r>
            <w:r>
              <w:br/>
            </w:r>
            <w:r>
              <w:br/>
            </w:r>
            <w:r>
              <w:rPr>
                <w:rFonts w:ascii="SimSun" w:hAnsi="SimSun"/>
                <w:b w:val="false"/>
                <w:i w:val="false"/>
                <w:color w:val="000000"/>
                <w:sz w:val="21"/>
              </w:rPr>
              <w:t>General Management_ Seminar Series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BA70013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必修10学分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修读荣誉课程不少于8门课。荣誉项目课程设置和修读要求请见管理学院“本科荣誉项目”实施方案。下载地址：https://jwc.fudan.edu.cn/（复旦大学教务处）专业培养-常用文档。研究生阶段须完成进阶III (12学分）。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在专业进阶路径I和II的基础上或荣誉项目基础上，修读1个跨学科学程（微专业）15学分（可在研究生学段修读），具体要求见教务处网站学程实施方案。研究生阶段须完成进阶III (12学分）。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在专业进阶路径I和II的基础上或荣誉项目基础上，修读1个创新创业15学分（可在研究生学段修读），具体要求见教务处网站学程实施方案。研究生阶段须完成进阶III (12学分）。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1.全周期的科研训练体系，循环渐进，在解决复杂问题的过程中，激发批判性思维和科研潜力。完成1项复芏计划（FDUROP）项目（䇹政、望道、登辉和曦源），激发创新志趣。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2.多渠道支持并资助学生参加国内国际高水平学术交流，原则上应到具有世界一流水平高校进行一年左右的学习、研究或联合培养。
       </w:t>
      </w:r>
      <w:r>
        <w:br/>
      </w:r>
      <w:r>
        <w:rPr>
          <w:rFonts w:ascii="SimSun" w:hAnsi="SimSun"/>
          <w:b w:val="false"/>
          <w:i w:val="false"/>
          <w:color w:val="000000"/>
          <w:sz w:val="21"/>
        </w:rPr>
        <w:t xml:space="preserve">
       </w:t>
      </w:r>
      <w:r>
        <w:br/>
      </w:r>
      <w:r>
        <w:rPr>
          <w:rFonts w:ascii="SimSun" w:hAnsi="SimSun"/>
          <w:b w:val="false"/>
          <w:i w:val="false"/>
          <w:color w:val="000000"/>
          <w:sz w:val="21"/>
        </w:rPr>
        <w:t xml:space="preserve">3.全员参加“朝阳行动”，教授带队，学以致用，培养高度的社会责任感。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本科“朝阳行动”支教活动，暑假为期一周。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硕博合上（即英文学术论文写作）</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管理学前沿讲座</w:t>
            </w:r>
            <w:r>
              <w:br/>
            </w:r>
            <w:r>
              <w:br/>
            </w:r>
            <w:r>
              <w:rPr>
                <w:rFonts w:ascii="SimSun" w:hAnsi="SimSun"/>
                <w:b w:val="false"/>
                <w:i w:val="false"/>
                <w:color w:val="000000"/>
                <w:sz w:val="21"/>
              </w:rPr>
              <w:t>Management Lectures on Frontier Discipline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硕博合上</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本科毕业论文</w:t>
            </w:r>
            <w:r>
              <w:br/>
            </w:r>
            <w:r>
              <w:br/>
            </w:r>
            <w:r>
              <w:rPr>
                <w:rFonts w:ascii="SimSun" w:hAnsi="SimSun"/>
                <w:b w:val="false"/>
                <w:i w:val="false"/>
                <w:color w:val="000000"/>
                <w:sz w:val="21"/>
              </w:rPr>
              <w:t>Undergraduate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第3、4学期，需在各研究方向的无学分讨论班轮转，每次讨论班结束后需一周内提交科研感想报告，并获得相应方向讨论班老师签字确认。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至少修读1门全英语的研究生课程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原则上应到具有世界一流水平的国外高校进行一年的学习、研究或联合培养。需具有参加高水平国际学术会议并作报告的经历。</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要求在转博前承担1次本科课程的助教工作； 要求在转博前完成1次学院规定的扶贫支教工作； 要求在转博后承担1次MBA/专业硕士/硕博课程的助教工作；要求在博士期间进行海外交流、联合培养</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论文预审相关要求见学位论文预审模块</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num w:numId="1">
    <w:abstractNumId w:val="1"/>
  </w:num>
  <w:num w:numId="2">
    <w:abstractNumId w:val="2"/>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