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2025电子信息科学与技术-信息与通信工程本博融通培养方案（香农计划）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777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77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笔试科目：“统计信号处理”与“现代光通信与光网络”二选一、“数字通信基础”与“机器学习”二选一；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605867" cy="1913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05867" cy="19134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1、专业进阶路径：171学分</w:t>
      </w:r>
    </w:p>
    <w:p>
      <w:pPr>
        <w:spacing w:after="0"/>
        <w:ind w:left="0"/>
        <w:jc w:val="left"/>
      </w:pPr>
      <w:r>
        <w:rPr>
          <w:rFonts w:ascii="SimSun" w:hAnsi="SimSun"/>
          <w:b w:val="false"/>
          <w:i w:val="false"/>
          <w:color w:val="000000"/>
          <w:sz w:val="21"/>
        </w:rPr>
        <w:t xml:space="preserve">  本路径学生本博期间必须修满教学计划规定的171学分，包括通识教育课程44学分、专业培养课程69学分、专业进阶I修读18学分（研究生课程不少于9学分）、专业进阶II修读14学分（研究生课程不少于10学分）、融合创新能力培养模块26学分的修读。</w:t>
      </w:r>
    </w:p>
    <w:p>
      <w:pPr>
        <w:spacing w:after="0"/>
        <w:ind w:left="0"/>
        <w:jc w:val="left"/>
      </w:pPr>
      <w:r>
        <w:rPr>
          <w:rFonts w:ascii="SimSun" w:hAnsi="SimSun"/>
          <w:b w:val="false"/>
          <w:i w:val="false"/>
          <w:color w:val="000000"/>
          <w:sz w:val="21"/>
        </w:rPr>
        <w:t xml:space="preserve">  其中，本科学段需要完成138学分（含实践学分不低于34.5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15学分、融合创新能力培养21学分。</w:t>
      </w:r>
    </w:p>
    <w:p>
      <w:pPr>
        <w:spacing w:after="0"/>
        <w:ind w:left="0"/>
        <w:jc w:val="left"/>
      </w:pPr>
      <w:r>
        <w:rPr>
          <w:rFonts w:ascii="SimSun" w:hAnsi="SimSun"/>
          <w:b w:val="false"/>
          <w:i w:val="false"/>
          <w:color w:val="000000"/>
          <w:sz w:val="21"/>
        </w:rPr>
        <w:t xml:space="preserve"> 2、荣誉项目：177学分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达到博士学位要求者授予信息与通信工程工学博士学位，基本要求如下：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第二学段主动退出和博士生资格考核不合格退出本博融通计划的学生，如达到信息与通信工程硕士学位要求者授予工学硕士学位，具体要求：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（4）通过学位论文评阅和学位论文答辩，通过学院学位评定委员会和学校学位评定委员会审议。</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5"/>
        <w:gridCol w:w="723"/>
        <w:gridCol w:w="724"/>
        <w:gridCol w:w="609"/>
        <w:gridCol w:w="1268"/>
        <w:gridCol w:w="934"/>
        <w:gridCol w:w="709"/>
        <w:gridCol w:w="737"/>
        <w:gridCol w:w="794"/>
        <w:gridCol w:w="1268"/>
        <w:gridCol w:w="2893"/>
      </w:tblGrid>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学位基础课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研究生学位专业课修读不少于9学分。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可选荣誉课程《数据结构与算法设计（H）》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微波遥感理论</w:t>
            </w:r>
            <w:r>
              <w:br/>
            </w:r>
            <w:r>
              <w:br/>
            </w:r>
            <w:r>
              <w:rPr>
                <w:rFonts w:ascii="SimSun" w:hAnsi="SimSun"/>
                <w:b w:val="false"/>
                <w:i w:val="false"/>
                <w:color w:val="000000"/>
                <w:sz w:val="21"/>
              </w:rPr>
              <w:t xml:space="preserve">Microwave Remote Sensing Theory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复杂网络系统理论与应用</w:t>
            </w:r>
            <w:r>
              <w:br/>
            </w:r>
            <w:r>
              <w:br/>
            </w:r>
            <w:r>
              <w:rPr>
                <w:rFonts w:ascii="SimSun" w:hAnsi="SimSun"/>
                <w:b w:val="false"/>
                <w:i w:val="false"/>
                <w:color w:val="000000"/>
                <w:sz w:val="21"/>
              </w:rPr>
              <w:t>Complex network system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研究生选修课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荣誉课程不低于24学分（不少于6门课），且满足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电磁波信息前沿进展”（EST70032），“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