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护理学院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2025护理学-人工智能双学士学位项目培养方案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护理学院是我国最早成立的护理学院之一。为国家级一流本科专业建设点、国务院学位办批准的第一批护理学一级学科博士学位授权点和硕士学位授权点、教育部首批护理学博士后流动站之一。学院有母婴与儿童护理、急危重症护理、老年与慢病管理、循证护理、数智护理五大优势学科方向。护理学科坚持“立德，明志，精业，奉献”的育人理念，致力于培养具有开展全生命周期健康照护和跨学科能力的复合型拔尖创新人才。</w:t>
      </w:r>
      <w:r>
        <w:br/>
      </w:r>
      <w:r>
        <w:br/>
      </w:r>
      <w:r>
        <w:rPr>
          <w:rFonts w:ascii="SimSun" w:hAnsi="SimSun"/>
          <w:b w:val="false"/>
          <w:i w:val="false"/>
          <w:color w:val="000000"/>
          <w:sz w:val="21"/>
        </w:rPr>
        <w:t>复旦大学计算机科学与技术学院有 “计算机科学与技术”、“信息安全”、“软件工程”、“保密技术” 和 “人工智能” 五大本科专业。学院通过多层次的人才培养体系、跨学科培养、国际化教育和创新创业教育，造就了一批具有国际视野和创新能力的高素质人才。同时，学院在前沿学科、高水平科研团队、产学研结合和学术资源的丰富性方面展现出强大的实力和影响力。</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兼具人工智能跨学科背景，善于运用健康科学理论和现代信息技术解决复杂护理问题，具备疾病预防和护理、健康管理、护理管理、护理研究和护理教育等方面持续发展能力的德智体美劳全面发展的复合型护理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098800" cy="1236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098800" cy="1236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1.修业年限：4年（类型：√本科、□本硕、□本博）</w:t>
      </w:r>
    </w:p>
    <w:p>
      <w:pPr>
        <w:spacing w:after="0"/>
        <w:ind w:left="0"/>
        <w:jc w:val="left"/>
      </w:pPr>
      <w:r>
        <w:rPr>
          <w:rFonts w:ascii="SimSun" w:hAnsi="SimSun"/>
          <w:b w:val="false"/>
          <w:i w:val="false"/>
          <w:color w:val="000000"/>
          <w:sz w:val="21"/>
        </w:rPr>
        <w:t>2. 学位授予说明：</w:t>
      </w:r>
    </w:p>
    <w:p>
      <w:pPr>
        <w:spacing w:after="0"/>
        <w:ind w:left="0"/>
        <w:jc w:val="left"/>
      </w:pPr>
      <w:r>
        <w:drawing>
          <wp:inline distT="0" distB="0" distL="0" distR="0">
            <wp:extent cx="3589867" cy="1049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589867" cy="1049867"/>
                    </a:xfrm>
                    <a:prstGeom prst="rect">
                      <a:avLst/>
                    </a:prstGeom>
                  </pic:spPr>
                </pic:pic>
              </a:graphicData>
            </a:graphic>
          </wp:inline>
        </w:drawing>
      </w: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589867" cy="12192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89867" cy="1219200"/>
                    </a:xfrm>
                    <a:prstGeom prst="rect">
                      <a:avLst/>
                    </a:prstGeom>
                  </pic:spPr>
                </pic:pic>
              </a:graphicData>
            </a:graphic>
          </wp:inline>
        </w:drawing>
      </w:r>
    </w:p>
    <w:p>
      <w:pPr>
        <w:spacing w:after="0"/>
        <w:ind w:left="0"/>
        <w:jc w:val="left"/>
      </w:pPr>
    </w:p>
    <w:p>
      <w:pPr>
        <w:spacing w:after="0"/>
        <w:ind w:left="0"/>
        <w:jc w:val="left"/>
      </w:pPr>
    </w:p>
    <w:p>
      <w:pPr>
        <w:spacing w:after="0"/>
        <w:ind w:left="0"/>
        <w:jc w:val="left"/>
      </w:pPr>
      <w:r>
        <w:rPr>
          <w:rFonts w:ascii="SimSun" w:hAnsi="SimSun"/>
          <w:b w:val="false"/>
          <w:i w:val="false"/>
          <w:color w:val="000000"/>
          <w:sz w:val="21"/>
        </w:rPr>
        <w:t xml:space="preserve">1、 专业进阶路径：190.5学分                                                               </w:t>
      </w:r>
    </w:p>
    <w:p>
      <w:pPr>
        <w:spacing w:after="0"/>
        <w:ind w:left="0"/>
        <w:jc w:val="left"/>
      </w:pPr>
      <w:r>
        <w:rPr>
          <w:rFonts w:ascii="SimSun" w:hAnsi="SimSun"/>
          <w:b w:val="false"/>
          <w:i w:val="false"/>
          <w:color w:val="000000"/>
          <w:sz w:val="21"/>
        </w:rPr>
        <w:t xml:space="preserve">      本路径学生必须修满教学计划规定的190.5学分，包括通识教育课程37学分、专业培养课程118学分（AI专业培养课程52学分）、专业进阶模块修读15学分、融合创新能力模块20.5学分的修读。具体要求见护理学-人工智能双学士学位项目培养方案。                                                                 </w:t>
      </w:r>
    </w:p>
    <w:p>
      <w:pPr>
        <w:spacing w:after="0"/>
        <w:ind w:left="0"/>
        <w:jc w:val="left"/>
      </w:pPr>
      <w:r>
        <w:rPr>
          <w:rFonts w:ascii="SimSun" w:hAnsi="SimSun"/>
          <w:b w:val="false"/>
          <w:i w:val="false"/>
          <w:color w:val="000000"/>
          <w:sz w:val="21"/>
        </w:rPr>
        <w:t xml:space="preserve">2、 本科荣誉项目：203.5学分                                                               </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护理学院“本科荣誉项目”实施方案。下载地址：https://jwc.fudan.edu.cn/（复旦大学教务处）专业培养-常用文档。鼓励学生选择荣誉项目。                                                               </w:t>
      </w:r>
    </w:p>
    <w:p>
      <w:pPr>
        <w:spacing w:after="0"/>
        <w:ind w:left="0"/>
        <w:jc w:val="left"/>
      </w:pPr>
      <w:r>
        <w:rPr>
          <w:rFonts w:ascii="SimSun" w:hAnsi="SimSun"/>
          <w:b w:val="false"/>
          <w:i w:val="false"/>
          <w:color w:val="000000"/>
          <w:sz w:val="21"/>
        </w:rPr>
        <w:t xml:space="preserve">3、 跨学科学发展路径：190.5学分                                                                </w:t>
      </w:r>
    </w:p>
    <w:p>
      <w:pPr>
        <w:spacing w:after="0"/>
        <w:ind w:left="0"/>
        <w:jc w:val="left"/>
      </w:pPr>
      <w:r>
        <w:rPr>
          <w:rFonts w:ascii="SimSun" w:hAnsi="SimSun"/>
          <w:b w:val="false"/>
          <w:i w:val="false"/>
          <w:color w:val="000000"/>
          <w:sz w:val="21"/>
        </w:rPr>
        <w:t xml:space="preserve">   本路径学生需要完成190.5学分，包括通识教育课程37学分、专业培养课程118学分、融合创新能力模块20.5学分、修读1个跨学科学程（微专业）15学分。                                                                  "                                                                    </w:t>
      </w:r>
    </w:p>
    <w:p>
      <w:pPr>
        <w:spacing w:after="0"/>
        <w:ind w:left="0"/>
        <w:jc w:val="left"/>
      </w:pPr>
    </w:p>
    <w:p>
      <w:pPr>
        <w:spacing w:after="0"/>
        <w:ind w:left="0"/>
        <w:jc w:val="left"/>
      </w:pP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（一）本科学位                                                                  </w:t>
      </w:r>
    </w:p>
    <w:p>
      <w:pPr>
        <w:spacing w:after="0"/>
        <w:ind w:left="0"/>
        <w:jc w:val="left"/>
      </w:pPr>
      <w:r>
        <w:rPr>
          <w:rFonts w:ascii="SimSun" w:hAnsi="SimSun"/>
          <w:b w:val="false"/>
          <w:i w:val="false"/>
          <w:color w:val="000000"/>
          <w:sz w:val="21"/>
        </w:rPr>
        <w:t xml:space="preserve">   4年级结束时，如达到护理学-人工智能双学士学位要求者授予理学-工学双学士学位。                                                               </w:t>
      </w:r>
    </w:p>
    <w:p>
      <w:pPr>
        <w:spacing w:after="0"/>
        <w:ind w:left="0"/>
        <w:jc w:val="left"/>
      </w:pPr>
      <w:r>
        <w:rPr>
          <w:rFonts w:ascii="SimSun" w:hAnsi="SimSun"/>
          <w:b w:val="false"/>
          <w:i w:val="false"/>
          <w:color w:val="000000"/>
          <w:sz w:val="21"/>
        </w:rPr>
        <w:t xml:space="preserve">   （1）修满规定的学分，达到护理学-人工智能双学士学位项目培养方案规定的各项要求。                                                                  </w:t>
      </w:r>
    </w:p>
    <w:p>
      <w:pPr>
        <w:spacing w:after="0"/>
        <w:ind w:left="0"/>
        <w:jc w:val="left"/>
      </w:pPr>
      <w:r>
        <w:rPr>
          <w:rFonts w:ascii="SimSun" w:hAnsi="SimSun"/>
          <w:b w:val="false"/>
          <w:i w:val="false"/>
          <w:color w:val="000000"/>
          <w:sz w:val="21"/>
        </w:rPr>
        <w:t xml:space="preserve">   （2）以符合学生毕业时所在专业教学培养方案规定的所有课程的有效成绩为准计算平均绩点，且此平均绩点大于或等于2.0。                                                                    </w:t>
      </w:r>
    </w:p>
    <w:p>
      <w:pPr>
        <w:spacing w:after="0"/>
        <w:ind w:left="0"/>
        <w:jc w:val="left"/>
      </w:pPr>
      <w:r>
        <w:rPr>
          <w:rFonts w:ascii="SimSun" w:hAnsi="SimSun"/>
          <w:b w:val="false"/>
          <w:i w:val="false"/>
          <w:color w:val="000000"/>
          <w:sz w:val="21"/>
        </w:rPr>
        <w:t xml:space="preserve">   （3）在此基础上，达到护理学院“本科荣誉证书”获得条件的授予“本科荣誉证书”，具体要求请见护理学院“本科荣誉项目”实施方案。                                                                </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2760133" cy="14393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760133" cy="1439333"/>
                    </a:xfrm>
                    <a:prstGeom prst="rect">
                      <a:avLst/>
                    </a:prstGeom>
                  </pic:spPr>
                </pic:pic>
              </a:graphicData>
            </a:graphic>
          </wp:inline>
        </w:drawing>
      </w:r>
    </w:p>
    <w:p>
      <w:pPr>
        <w:spacing w:after="0"/>
        <w:ind w:left="0"/>
        <w:jc w:val="left"/>
      </w:pPr>
    </w:p>
    <w:p>
      <w:pPr>
        <w:spacing w:after="0"/>
        <w:ind w:left="0"/>
        <w:jc w:val="left"/>
      </w:pP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13门专业必修课、8门专业选修课、12门人工智能领域专业核心课程为支撑，6门高难度、大学分荣誉课程为挑战，建立了本研融通的核心课程体系，通过整合临床、康复、老年、工科、信息等交叉学科资源、打造护理创新创业课程体系，促进复合型本科创新人才的实践能力、科研潜力和人文素养培育。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螺旋递进的全周期科研训练体系，给低年级本科生配备专业导师，鼓励师生共创，通过复芏计划等项目引导学生在“做中学、学中悟、悟中创”。在2年级开设护理科研课程，鼓励学生申报护航计划，培育兴趣。3年级通过护理科研与实践的学习，完成1项复芏计划（FDUROP）项目（䇹政、望道、登辉和曦源），激发创新志趣。                                  </w:t>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 xml:space="preserve">备注       每学期选修学分不得超过32学分。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社会科学基础课程</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4"/>
        <w:gridCol w:w="2714"/>
        <w:gridCol w:w="677"/>
        <w:gridCol w:w="680"/>
        <w:gridCol w:w="946"/>
        <w:gridCol w:w="1585"/>
        <w:gridCol w:w="679"/>
        <w:gridCol w:w="677"/>
        <w:gridCol w:w="677"/>
        <w:gridCol w:w="676"/>
        <w:gridCol w:w="947"/>
        <w:gridCol w:w="1352"/>
      </w:tblGrid>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社会科学基础课程</w:t>
            </w:r>
          </w:p>
        </w:tc>
        <w:tc>
          <w:tcPr>
            <w:tcW w:w="271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8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医学基础课程</w:t>
      </w:r>
      <w:r>
        <w:rPr>
          <w:rFonts w:ascii="SimSun" w:hAnsi="SimSun"/>
          <w:b/>
          <w:i w:val="false"/>
          <w:color w:val="000000"/>
          <w:sz w:val="21"/>
        </w:rPr>
        <w:t>（6学分）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7"/>
        <w:gridCol w:w="2716"/>
        <w:gridCol w:w="678"/>
        <w:gridCol w:w="679"/>
        <w:gridCol w:w="948"/>
        <w:gridCol w:w="1569"/>
        <w:gridCol w:w="678"/>
        <w:gridCol w:w="678"/>
        <w:gridCol w:w="678"/>
        <w:gridCol w:w="680"/>
        <w:gridCol w:w="949"/>
        <w:gridCol w:w="1354"/>
      </w:tblGrid>
      <w:tr>
        <w:trPr>
          <w:trHeight w:val="45" w:hRule="atLeast"/>
        </w:trPr>
        <w:tc>
          <w:tcPr>
            <w:tcW w:w="20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医学基础课程</w:t>
            </w:r>
          </w:p>
        </w:tc>
        <w:tc>
          <w:tcPr>
            <w:tcW w:w="27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现代生物科学导论C</w:t>
            </w:r>
            <w:r>
              <w:br/>
            </w:r>
            <w:r>
              <w:br/>
            </w:r>
            <w:r>
              <w:rPr>
                <w:rFonts w:ascii="SimSun" w:hAnsi="SimSun"/>
                <w:b w:val="false"/>
                <w:i w:val="false"/>
                <w:color w:val="000000"/>
                <w:sz w:val="21"/>
              </w:rPr>
              <w:t>Introduction to Modern Biological Science C</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BIOL10002</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94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工学基础课程</w:t>
      </w:r>
      <w:r>
        <w:rPr>
          <w:rFonts w:ascii="SimSun" w:hAnsi="SimSun"/>
          <w:b/>
          <w:i w:val="false"/>
          <w:color w:val="000000"/>
          <w:sz w:val="21"/>
        </w:rPr>
        <w:t>（7学分）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66"/>
        <w:gridCol w:w="2755"/>
        <w:gridCol w:w="688"/>
        <w:gridCol w:w="688"/>
        <w:gridCol w:w="964"/>
        <w:gridCol w:w="1377"/>
        <w:gridCol w:w="688"/>
        <w:gridCol w:w="688"/>
        <w:gridCol w:w="688"/>
        <w:gridCol w:w="688"/>
        <w:gridCol w:w="965"/>
        <w:gridCol w:w="1379"/>
      </w:tblGrid>
      <w:tr>
        <w:trPr>
          <w:trHeight w:val="45" w:hRule="atLeast"/>
        </w:trPr>
        <w:tc>
          <w:tcPr>
            <w:tcW w:w="206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6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工学基础课程</w:t>
            </w:r>
          </w:p>
        </w:tc>
        <w:tc>
          <w:tcPr>
            <w:tcW w:w="275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6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5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3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6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7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（95学分）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 专业核心教育课程（95学分）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要求修读95学分（部分课程学分可用荣誉课程学分替换）。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（60学分）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卫生统计学C</w:t>
            </w:r>
            <w:r>
              <w:br/>
            </w:r>
            <w:r>
              <w:br/>
            </w:r>
            <w:r>
              <w:rPr>
                <w:rFonts w:ascii="SimSun" w:hAnsi="SimSun"/>
                <w:b w:val="false"/>
                <w:i w:val="false"/>
                <w:color w:val="000000"/>
                <w:sz w:val="21"/>
              </w:rPr>
              <w:t>Health Statistics C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正常人体形态与功能学IB</w:t>
            </w:r>
            <w:r>
              <w:br/>
            </w:r>
            <w:r>
              <w:br/>
            </w:r>
            <w:r>
              <w:rPr>
                <w:rFonts w:ascii="SimSun" w:hAnsi="SimSun"/>
                <w:b w:val="false"/>
                <w:i w:val="false"/>
                <w:color w:val="000000"/>
                <w:sz w:val="21"/>
              </w:rPr>
              <w:t>Normal Structure and Functions of the Human Body IB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正常人体形态与功能学ⅡB</w:t>
            </w:r>
            <w:r>
              <w:br/>
            </w:r>
            <w:r>
              <w:br/>
            </w:r>
            <w:r>
              <w:rPr>
                <w:rFonts w:ascii="SimSun" w:hAnsi="SimSun"/>
                <w:b w:val="false"/>
                <w:i w:val="false"/>
                <w:color w:val="000000"/>
                <w:sz w:val="21"/>
              </w:rPr>
              <w:t>Normal Structure and Functions of the Human Body IIB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正常人体形态与功能学ⅢB</w:t>
            </w:r>
            <w:r>
              <w:br/>
            </w:r>
            <w:r>
              <w:br/>
            </w:r>
            <w:r>
              <w:rPr>
                <w:rFonts w:ascii="SimSun" w:hAnsi="SimSun"/>
                <w:b w:val="false"/>
                <w:i w:val="false"/>
                <w:color w:val="000000"/>
                <w:sz w:val="21"/>
              </w:rPr>
              <w:t>Normal Structure and Functions of the Human Body IIIB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正常人体形态与功能学ⅣB</w:t>
            </w:r>
            <w:r>
              <w:br/>
            </w:r>
            <w:r>
              <w:br/>
            </w:r>
            <w:r>
              <w:rPr>
                <w:rFonts w:ascii="SimSun" w:hAnsi="SimSun"/>
                <w:b w:val="false"/>
                <w:i w:val="false"/>
                <w:color w:val="000000"/>
                <w:sz w:val="21"/>
              </w:rPr>
              <w:t>Normal Structure and Functions of the Human Body IVB</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微生物学</w:t>
            </w:r>
            <w:r>
              <w:br/>
            </w:r>
            <w:r>
              <w:br/>
            </w:r>
            <w:r>
              <w:rPr>
                <w:rFonts w:ascii="SimSun" w:hAnsi="SimSun"/>
                <w:b w:val="false"/>
                <w:i w:val="false"/>
                <w:color w:val="000000"/>
                <w:sz w:val="21"/>
              </w:rPr>
              <w:t>Microbiology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w:t>
            </w:r>
            <w:r>
              <w:br/>
            </w:r>
            <w:r>
              <w:br/>
            </w:r>
            <w:r>
              <w:rPr>
                <w:rFonts w:ascii="SimSun" w:hAnsi="SimSun"/>
                <w:b w:val="false"/>
                <w:i w:val="false"/>
                <w:color w:val="000000"/>
                <w:sz w:val="21"/>
              </w:rPr>
              <w:t>Medical Immunology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护理学基础（上）</w:t>
            </w:r>
            <w:r>
              <w:br/>
            </w:r>
            <w:r>
              <w:br/>
            </w:r>
            <w:r>
              <w:rPr>
                <w:rFonts w:ascii="SimSun" w:hAnsi="SimSun"/>
                <w:b w:val="false"/>
                <w:i w:val="false"/>
                <w:color w:val="000000"/>
                <w:sz w:val="21"/>
              </w:rPr>
              <w:t>Fundamental Nursing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健康评估</w:t>
            </w:r>
            <w:r>
              <w:br/>
            </w:r>
            <w:r>
              <w:br/>
            </w:r>
            <w:r>
              <w:rPr>
                <w:rFonts w:ascii="SimSun" w:hAnsi="SimSun"/>
                <w:b w:val="false"/>
                <w:i w:val="false"/>
                <w:color w:val="000000"/>
                <w:sz w:val="21"/>
              </w:rPr>
              <w:t>Health Assessment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NURS20001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药理学C</w:t>
            </w:r>
            <w:r>
              <w:br/>
            </w:r>
            <w:r>
              <w:br/>
            </w:r>
            <w:r>
              <w:rPr>
                <w:rFonts w:ascii="SimSun" w:hAnsi="SimSun"/>
                <w:b w:val="false"/>
                <w:i w:val="false"/>
                <w:color w:val="000000"/>
                <w:sz w:val="21"/>
              </w:rPr>
              <w:t>Pharmacology C</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疾病机制</w:t>
            </w:r>
            <w:r>
              <w:br/>
            </w:r>
            <w:r>
              <w:br/>
            </w:r>
            <w:r>
              <w:rPr>
                <w:rFonts w:ascii="SimSun" w:hAnsi="SimSun"/>
                <w:b w:val="false"/>
                <w:i w:val="false"/>
                <w:color w:val="000000"/>
                <w:sz w:val="21"/>
              </w:rPr>
              <w:t>Pathological Mechanisms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MED20035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护理学基础（下）</w:t>
            </w:r>
            <w:r>
              <w:br/>
            </w:r>
            <w:r>
              <w:br/>
            </w:r>
            <w:r>
              <w:rPr>
                <w:rFonts w:ascii="SimSun" w:hAnsi="SimSun"/>
                <w:b w:val="false"/>
                <w:i w:val="false"/>
                <w:color w:val="000000"/>
                <w:sz w:val="21"/>
              </w:rPr>
              <w:t>Fundamental Nursing II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NURS20003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内科护理学</w:t>
            </w:r>
            <w:r>
              <w:br/>
            </w:r>
            <w:r>
              <w:br/>
            </w:r>
            <w:r>
              <w:rPr>
                <w:rFonts w:ascii="SimSun" w:hAnsi="SimSun"/>
                <w:b w:val="false"/>
                <w:i w:val="false"/>
                <w:color w:val="000000"/>
                <w:sz w:val="21"/>
              </w:rPr>
              <w:t>Medical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儿科护理学</w:t>
            </w:r>
            <w:r>
              <w:br/>
            </w:r>
            <w:r>
              <w:br/>
            </w:r>
            <w:r>
              <w:rPr>
                <w:rFonts w:ascii="SimSun" w:hAnsi="SimSun"/>
                <w:b w:val="false"/>
                <w:i w:val="false"/>
                <w:color w:val="000000"/>
                <w:sz w:val="21"/>
              </w:rPr>
              <w:t>Pediatric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急救护理学</w:t>
            </w:r>
            <w:r>
              <w:br/>
            </w:r>
            <w:r>
              <w:br/>
            </w:r>
            <w:r>
              <w:rPr>
                <w:rFonts w:ascii="SimSun" w:hAnsi="SimSun"/>
                <w:b w:val="false"/>
                <w:i w:val="false"/>
                <w:color w:val="000000"/>
                <w:sz w:val="21"/>
              </w:rPr>
              <w:t>Emergency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妇产科护理学</w:t>
            </w:r>
            <w:r>
              <w:br/>
            </w:r>
            <w:r>
              <w:br/>
            </w:r>
            <w:r>
              <w:rPr>
                <w:rFonts w:ascii="SimSun" w:hAnsi="SimSun"/>
                <w:b w:val="false"/>
                <w:i w:val="false"/>
                <w:color w:val="000000"/>
                <w:sz w:val="21"/>
              </w:rPr>
              <w:t>Obstetrics and Gynecology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精神科护理学</w:t>
            </w:r>
            <w:r>
              <w:br/>
            </w:r>
            <w:r>
              <w:br/>
            </w:r>
            <w:r>
              <w:rPr>
                <w:rFonts w:ascii="SimSun" w:hAnsi="SimSun"/>
                <w:b w:val="false"/>
                <w:i w:val="false"/>
                <w:color w:val="000000"/>
                <w:sz w:val="21"/>
              </w:rPr>
              <w:t>Psychiatric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外科护理学</w:t>
            </w:r>
            <w:r>
              <w:br/>
            </w:r>
            <w:r>
              <w:br/>
            </w:r>
            <w:r>
              <w:rPr>
                <w:rFonts w:ascii="SimSun" w:hAnsi="SimSun"/>
                <w:b w:val="false"/>
                <w:i w:val="false"/>
                <w:color w:val="000000"/>
                <w:sz w:val="21"/>
              </w:rPr>
              <w:t>Surgical Nursing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社区护理</w:t>
            </w:r>
            <w:r>
              <w:br/>
            </w:r>
            <w:r>
              <w:br/>
            </w:r>
            <w:r>
              <w:rPr>
                <w:rFonts w:ascii="SimSun" w:hAnsi="SimSun"/>
                <w:b w:val="false"/>
                <w:i w:val="false"/>
                <w:color w:val="000000"/>
                <w:sz w:val="21"/>
              </w:rPr>
              <w:t>Community Nursing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NURS30007</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人工智能伦理</w:t>
            </w:r>
            <w:r>
              <w:br/>
            </w:r>
            <w:r>
              <w:br/>
            </w:r>
            <w:r>
              <w:rPr>
                <w:rFonts w:ascii="SimSun" w:hAnsi="SimSun"/>
                <w:b w:val="false"/>
                <w:i w:val="false"/>
                <w:color w:val="000000"/>
                <w:sz w:val="21"/>
              </w:rPr>
              <w:t>The Ethics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专业进阶模块Ⅰ</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包括专业进阶路径、荣誉项目、跨学科发展路径、护理+AI双学士学位项目，要求在院系专业导师指导下选择1条发展路径，按路径要求修读课程。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1.专业进阶路径（15学分）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修满15学分。要求在本专业进阶模块I修读9学分，专业进阶模块II修读6学分。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专业进阶模块课程设置如下：										
       </w:t>
      </w:r>
      <w:r>
        <w:br/>
      </w:r>
      <w:r>
        <w:rPr>
          <w:rFonts w:ascii="SimSun" w:hAnsi="SimSun"/>
          <w:b w:val="false"/>
          <w:i w:val="false"/>
          <w:color w:val="000000"/>
          <w:sz w:val="21"/>
        </w:rPr>
        <w:t xml:space="preserve">
       </w:t>
      </w:r>
      <w:r>
        <w:br/>
      </w:r>
      <w:r>
        <w:rPr>
          <w:rFonts w:ascii="SimSun" w:hAnsi="SimSun"/>
          <w:b w:val="false"/>
          <w:i w:val="false"/>
          <w:color w:val="000000"/>
          <w:sz w:val="21"/>
        </w:rPr>
        <w:t xml:space="preserve">（1）专业进阶模块I（必修9学分）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护理学导论</w:t>
            </w:r>
            <w:r>
              <w:br/>
            </w:r>
            <w:r>
              <w:br/>
            </w:r>
            <w:r>
              <w:rPr>
                <w:rFonts w:ascii="SimSun" w:hAnsi="SimSun"/>
                <w:b w:val="false"/>
                <w:i w:val="false"/>
                <w:color w:val="000000"/>
                <w:sz w:val="21"/>
              </w:rPr>
              <w:t>Introduction to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NURS10001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护理伦理学</w:t>
            </w:r>
            <w:r>
              <w:br/>
            </w:r>
            <w:r>
              <w:br/>
            </w:r>
            <w:r>
              <w:rPr>
                <w:rFonts w:ascii="SimSun" w:hAnsi="SimSun"/>
                <w:b w:val="false"/>
                <w:i w:val="false"/>
                <w:color w:val="000000"/>
                <w:sz w:val="21"/>
              </w:rPr>
              <w:t>Nursing Ethics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护理教育学</w:t>
            </w:r>
            <w:r>
              <w:br/>
            </w:r>
            <w:r>
              <w:br/>
            </w:r>
            <w:r>
              <w:rPr>
                <w:rFonts w:ascii="SimSun" w:hAnsi="SimSun"/>
                <w:b w:val="false"/>
                <w:i w:val="false"/>
                <w:color w:val="000000"/>
                <w:sz w:val="21"/>
              </w:rPr>
              <w:t>Nursing Education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护理管理学</w:t>
            </w:r>
            <w:r>
              <w:br/>
            </w:r>
            <w:r>
              <w:br/>
            </w:r>
            <w:r>
              <w:rPr>
                <w:rFonts w:ascii="SimSun" w:hAnsi="SimSun"/>
                <w:b w:val="false"/>
                <w:i w:val="false"/>
                <w:color w:val="000000"/>
                <w:sz w:val="21"/>
              </w:rPr>
              <w:t>Nursing Management</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老年护理</w:t>
            </w:r>
            <w:r>
              <w:br/>
            </w:r>
            <w:r>
              <w:br/>
            </w:r>
            <w:r>
              <w:rPr>
                <w:rFonts w:ascii="SimSun" w:hAnsi="SimSun"/>
                <w:b w:val="false"/>
                <w:i w:val="false"/>
                <w:color w:val="000000"/>
                <w:sz w:val="21"/>
              </w:rPr>
              <w:t>Gerontological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循证护理概论</w:t>
            </w:r>
            <w:r>
              <w:br/>
            </w:r>
            <w:r>
              <w:br/>
            </w:r>
            <w:r>
              <w:rPr>
                <w:rFonts w:ascii="SimSun" w:hAnsi="SimSun"/>
                <w:b w:val="false"/>
                <w:i w:val="false"/>
                <w:color w:val="000000"/>
                <w:sz w:val="21"/>
              </w:rPr>
              <w:t>Introduction of Evidence-Based Nursing</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NURS50005</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专业进阶模块Ⅱ</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（2）专业进阶模块II（选修6学分）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医学人工智能导论</w:t>
            </w:r>
            <w:r>
              <w:br/>
            </w:r>
            <w:r>
              <w:br/>
            </w:r>
            <w:r>
              <w:rPr>
                <w:rFonts w:ascii="SimSun" w:hAnsi="SimSun"/>
                <w:b w:val="false"/>
                <w:i w:val="false"/>
                <w:color w:val="000000"/>
                <w:sz w:val="21"/>
              </w:rPr>
              <w:t>Introduction to Artificial Intelligence in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MED130359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元宇宙与未来医学</w:t>
            </w:r>
            <w:r>
              <w:br/>
            </w:r>
            <w:r>
              <w:br/>
            </w:r>
            <w:r>
              <w:rPr>
                <w:rFonts w:ascii="SimSun" w:hAnsi="SimSun"/>
                <w:b w:val="false"/>
                <w:i w:val="false"/>
                <w:color w:val="000000"/>
                <w:sz w:val="21"/>
              </w:rPr>
              <w:t>Metaverse in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GECC20053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具身智能引论</w:t>
            </w:r>
            <w:r>
              <w:br/>
            </w:r>
            <w:r>
              <w:br/>
            </w:r>
            <w:r>
              <w:rPr>
                <w:rFonts w:ascii="SimSun" w:hAnsi="SimSun"/>
                <w:b w:val="false"/>
                <w:i w:val="false"/>
                <w:color w:val="000000"/>
                <w:sz w:val="21"/>
              </w:rPr>
              <w:t>Introduction to Embodied Intelligence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深度学习基础</w:t>
            </w:r>
            <w:r>
              <w:br/>
            </w:r>
            <w:r>
              <w:br/>
            </w:r>
            <w:r>
              <w:rPr>
                <w:rFonts w:ascii="SimSun" w:hAnsi="SimSun"/>
                <w:b w:val="false"/>
                <w:i w:val="false"/>
                <w:color w:val="000000"/>
                <w:sz w:val="21"/>
              </w:rPr>
              <w:t>Foundations of Deep Learning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信息论、控制论、系统论基础</w:t>
            </w:r>
            <w:r>
              <w:br/>
            </w:r>
            <w:r>
              <w:br/>
            </w:r>
            <w:r>
              <w:rPr>
                <w:rFonts w:ascii="SimSun" w:hAnsi="SimSun"/>
                <w:b w:val="false"/>
                <w:i w:val="false"/>
                <w:color w:val="000000"/>
                <w:sz w:val="21"/>
              </w:rPr>
              <w:t>Basics of Information Theory, Cybernetics, and Systems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AIE631001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可信大模型</w:t>
            </w:r>
            <w:r>
              <w:br/>
            </w:r>
            <w:r>
              <w:br/>
            </w:r>
            <w:r>
              <w:rPr>
                <w:rFonts w:ascii="SimSun" w:hAnsi="SimSun"/>
                <w:b w:val="false"/>
                <w:i w:val="false"/>
                <w:color w:val="000000"/>
                <w:sz w:val="21"/>
              </w:rPr>
              <w:t>Trustworthy Large Models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大模型理论与方法</w:t>
            </w:r>
            <w:r>
              <w:br/>
            </w:r>
            <w:r>
              <w:br/>
            </w:r>
            <w:r>
              <w:rPr>
                <w:rFonts w:ascii="SimSun" w:hAnsi="SimSun"/>
                <w:b w:val="false"/>
                <w:i w:val="false"/>
                <w:color w:val="000000"/>
                <w:sz w:val="21"/>
              </w:rPr>
              <w:t>Large Models: Principles and Methods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人工智能、数据挖掘与算法：社会研究方法的新范式</w:t>
            </w:r>
            <w:r>
              <w:br/>
            </w:r>
            <w:r>
              <w:br/>
            </w:r>
            <w:r>
              <w:rPr>
                <w:rFonts w:ascii="SimSun" w:hAnsi="SimSun"/>
                <w:b w:val="false"/>
                <w:i w:val="false"/>
                <w:color w:val="000000"/>
                <w:sz w:val="21"/>
              </w:rPr>
              <w:t>AI, Data Mining, and Algorithm: New Paradigm of Social Research Method</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循证护理</w:t>
            </w:r>
            <w:r>
              <w:br/>
            </w:r>
            <w:r>
              <w:br/>
            </w:r>
            <w:r>
              <w:rPr>
                <w:rFonts w:ascii="SimSun" w:hAnsi="SimSun"/>
                <w:b w:val="false"/>
                <w:i w:val="false"/>
                <w:color w:val="000000"/>
                <w:sz w:val="21"/>
              </w:rPr>
              <w:t>Evidence-based Nursing</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NURS50024</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val="false"/>
          <w:i w:val="false"/>
          <w:color w:val="000000"/>
          <w:sz w:val="21"/>
        </w:rPr>
        <w:t xml:space="preserve">
       2. 荣誉项目（24学分）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修满24学分。要求修读荣誉课程不低于24学分（不少于6门课），且满足专业进阶模块I修读15学分。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3. 跨学科发展路径（15学分）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修满15学分。要求在1个非本专业独立开设的学程（微专业）15学分。学程课程详见教务处学程项目网页。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荣誉课程</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9"/>
        <w:gridCol w:w="794"/>
        <w:gridCol w:w="794"/>
        <w:gridCol w:w="1112"/>
        <w:gridCol w:w="1874"/>
        <w:gridCol w:w="794"/>
        <w:gridCol w:w="794"/>
        <w:gridCol w:w="794"/>
        <w:gridCol w:w="794"/>
        <w:gridCol w:w="1113"/>
        <w:gridCol w:w="1592"/>
      </w:tblGrid>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健康与护理（H）</w:t>
            </w:r>
            <w:r>
              <w:br/>
            </w:r>
            <w:r>
              <w:br/>
            </w:r>
            <w:r>
              <w:rPr>
                <w:rFonts w:ascii="SimSun" w:hAnsi="SimSun"/>
                <w:b w:val="false"/>
                <w:i w:val="false"/>
                <w:color w:val="000000"/>
                <w:sz w:val="21"/>
              </w:rPr>
              <w:t>Health and Nursing （H）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77</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NURS50008h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急救护理学（H）</w:t>
            </w:r>
            <w:r>
              <w:br/>
            </w:r>
            <w:r>
              <w:br/>
            </w:r>
            <w:r>
              <w:rPr>
                <w:rFonts w:ascii="SimSun" w:hAnsi="SimSun"/>
                <w:b w:val="false"/>
                <w:i w:val="false"/>
                <w:color w:val="000000"/>
                <w:sz w:val="21"/>
              </w:rPr>
              <w:t>Emergency Nursing （honored）</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NURS30006h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循证护理概论(H)</w:t>
            </w:r>
            <w:r>
              <w:br/>
            </w:r>
            <w:r>
              <w:br/>
            </w:r>
            <w:r>
              <w:rPr>
                <w:rFonts w:ascii="SimSun" w:hAnsi="SimSun"/>
                <w:b w:val="false"/>
                <w:i w:val="false"/>
                <w:color w:val="000000"/>
                <w:sz w:val="21"/>
              </w:rPr>
              <w:t>Introduction of Evidence-Based Nursing (H)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NURS50005h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护理科研（H)</w:t>
            </w:r>
            <w:r>
              <w:br/>
            </w:r>
            <w:r>
              <w:br/>
            </w:r>
            <w:r>
              <w:rPr>
                <w:rFonts w:ascii="SimSun" w:hAnsi="SimSun"/>
                <w:b w:val="false"/>
                <w:i w:val="false"/>
                <w:color w:val="000000"/>
                <w:sz w:val="21"/>
              </w:rPr>
              <w:t>Nursing Research (H)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NURS20004h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老年护理（H）</w:t>
            </w:r>
            <w:r>
              <w:br/>
            </w:r>
            <w:r>
              <w:br/>
            </w:r>
            <w:r>
              <w:rPr>
                <w:rFonts w:ascii="SimSun" w:hAnsi="SimSun"/>
                <w:b w:val="false"/>
                <w:i w:val="false"/>
                <w:color w:val="000000"/>
                <w:sz w:val="21"/>
              </w:rPr>
              <w:t>Geriatric Nursing(H)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NURS50002h</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社区护理学（H）</w:t>
            </w:r>
            <w:r>
              <w:br/>
            </w:r>
            <w:r>
              <w:br/>
            </w:r>
            <w:r>
              <w:rPr>
                <w:rFonts w:ascii="SimSun" w:hAnsi="SimSun"/>
                <w:b w:val="false"/>
                <w:i w:val="false"/>
                <w:color w:val="000000"/>
                <w:sz w:val="21"/>
              </w:rPr>
              <w:t>Community health nursing（H）</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NURS30007h</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（20.5学分）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建立“立体式、链条式、递升式”的护理创新创业教育与实践体系，鼓励学生接受创新创业教育，参与创新创业实训，投身创新创业实践。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开设护理创新和护理科研相关课程，鼓励学生申报护航计划，培育兴趣。3年级通过护理科研与实践的学习，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上证杯”上海大学生创新创业大赛、上海市护理学会护理教育专委会护理学生创新创业优秀项目比赛等）。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健康与护理</w:t>
            </w:r>
            <w:r>
              <w:br/>
            </w:r>
            <w:r>
              <w:br/>
            </w:r>
            <w:r>
              <w:rPr>
                <w:rFonts w:ascii="SimSun" w:hAnsi="SimSun"/>
                <w:b w:val="false"/>
                <w:i w:val="false"/>
                <w:color w:val="000000"/>
                <w:sz w:val="21"/>
              </w:rPr>
              <w:t>Health and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NURS50008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护理创新设计理论与实践</w:t>
            </w:r>
            <w:r>
              <w:br/>
            </w:r>
            <w:r>
              <w:br/>
            </w:r>
            <w:r>
              <w:rPr>
                <w:rFonts w:ascii="SimSun" w:hAnsi="SimSun"/>
                <w:b w:val="false"/>
                <w:i w:val="false"/>
                <w:color w:val="000000"/>
                <w:sz w:val="21"/>
              </w:rPr>
              <w:t>Design of nursing innovations: theories and practices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NURS50011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护理学社会实践</w:t>
            </w:r>
            <w:r>
              <w:br/>
            </w:r>
            <w:r>
              <w:br/>
            </w:r>
            <w:r>
              <w:rPr>
                <w:rFonts w:ascii="SimSun" w:hAnsi="SimSun"/>
                <w:b w:val="false"/>
                <w:i w:val="false"/>
                <w:color w:val="000000"/>
                <w:sz w:val="21"/>
              </w:rPr>
              <w:t>Social practice of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NURS50015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护理科研</w:t>
            </w:r>
            <w:r>
              <w:br/>
            </w:r>
            <w:r>
              <w:br/>
            </w:r>
            <w:r>
              <w:rPr>
                <w:rFonts w:ascii="SimSun" w:hAnsi="SimSun"/>
                <w:b w:val="false"/>
                <w:i w:val="false"/>
                <w:color w:val="000000"/>
                <w:sz w:val="21"/>
              </w:rPr>
              <w:t>Nursing Research</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NURS20004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AI赋能护理科研与实践的策略与方法</w:t>
            </w:r>
            <w:r>
              <w:br/>
            </w:r>
            <w:r>
              <w:br/>
            </w:r>
            <w:r>
              <w:rPr>
                <w:rFonts w:ascii="SimSun" w:hAnsi="SimSun"/>
                <w:b w:val="false"/>
                <w:i w:val="false"/>
                <w:color w:val="000000"/>
                <w:sz w:val="21"/>
              </w:rPr>
              <w:t>Strategies and methods for AI-empowered nursing research and practice</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AIS531013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Dissertation</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NURS40001</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毕业实习</w:t>
            </w:r>
            <w:r>
              <w:br/>
            </w:r>
            <w:r>
              <w:br/>
            </w:r>
            <w:r>
              <w:rPr>
                <w:rFonts w:ascii="SimSun" w:hAnsi="SimSun"/>
                <w:b w:val="false"/>
                <w:i w:val="false"/>
                <w:color w:val="000000"/>
                <w:sz w:val="21"/>
              </w:rPr>
              <w:t>Graduation Practice of Nursing</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160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NURS40002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