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2025哲学(科学哲学与逻辑学方向)专业本科培养方案(强基计划适用)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在二十一世纪重塑科学技术与社会关系的现实挑战面前，科学哲学与逻辑学方向将致力于发展以多学科、跨学科为特征的“哲学+科学”（“Philosophy plus Science”，如哲学+数学、哲学+物理、哲学+生物、哲学+人工智能、哲学+技术等）的整体研究计划。</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2607733" cy="101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07733" cy="1016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40"/>
        <w:gridCol w:w="840"/>
        <w:gridCol w:w="1922"/>
        <w:gridCol w:w="1923"/>
        <w:gridCol w:w="1680"/>
        <w:gridCol w:w="1040"/>
        <w:gridCol w:w="980"/>
        <w:gridCol w:w="2"/>
        <w:gridCol w:w="5"/>
        <w:gridCol w:w="1069"/>
        <w:gridCol w:w="1233"/>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9" w:type="dxa"/>
            <w:tcBorders>
              <w:bottom w:val="single" w:color="000000" w:sz="8"/>
              <w:right w:val="single" w:color="000000" w:sz="8"/>
            </w:tcBorders>
            <w:tcMar>
              <w:top w:w="15" w:type="dxa"/>
              <w:left w:w="15" w:type="dxa"/>
              <w:bottom w:w="15" w:type="dxa"/>
              <w:right w:w="15" w:type="dxa"/>
            </w:tcMar>
            <w:vAlign w:val="center"/>
          </w:tcPr>
          <w:p/>
        </w:tc>
        <w:tc>
          <w:tcPr>
            <w:tcW w:w="1233"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哲学（科学哲学与逻辑学方向）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17333"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17333" cy="1524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r>
        <w:br/>
      </w:r>
      <w:r>
        <w:br/>
      </w:r>
      <w:r>
        <w:rPr>
          <w:rFonts w:ascii="SimSun" w:hAnsi="SimSun"/>
          <w:b w:val="false"/>
          <w:i w:val="false"/>
          <w:color w:val="000000"/>
          <w:sz w:val="21"/>
        </w:rPr>
        <w:t xml:space="preserve"> 4年级结束时，如达到学士学位要求者授予哲学学士学位。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强基计划”学生入校后按照“2+X”培养方案中的“荣誉项目”路径修读各类课程。“强基计划”学生实行动态进出制，每学年根据学习成绩进行考核，不合格的学生将转出“强基计划”（详见《复旦大学哲学学院“强基计划”学生管理办法（试行）》）。“强基计划”学生在大一结束时，按照学生意愿可在哲学专业内部各方向进行分流，专业分流后按照各专业方向荣誉项目实施方案进行培养。“强基计划”同学经考核合格，可100%入选本学院“优秀大学生夏令营”，参加推荐免试攻读研究生选拔；满足相关要求的“强基计划”学生将按规定确保获得优先推荐；特别优秀的学生可进入直博生通道；“强基计划”学生可在大四学年修读本专业研究生基础课程，如在本校深造，则按照复旦大学研究生院规定计入研究生成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4892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89200" cy="13546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技术哲学</w:t>
            </w:r>
            <w:r>
              <w:br/>
            </w:r>
            <w:r>
              <w:br/>
            </w:r>
            <w:r>
              <w:rPr>
                <w:rFonts w:ascii="SimSun" w:hAnsi="SimSun"/>
                <w:b w:val="false"/>
                <w:i w:val="false"/>
                <w:color w:val="000000"/>
                <w:sz w:val="21"/>
              </w:rPr>
              <w:t>Philosophy of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心灵哲学</w:t>
            </w:r>
            <w:r>
              <w:br/>
            </w:r>
            <w:r>
              <w:br/>
            </w:r>
            <w:r>
              <w:rPr>
                <w:rFonts w:ascii="SimSun" w:hAnsi="SimSun"/>
                <w:b w:val="false"/>
                <w:i w:val="false"/>
                <w:color w:val="000000"/>
                <w:sz w:val="21"/>
              </w:rPr>
              <w:t>Philosophy of Mind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逻辑哲学</w:t>
            </w:r>
            <w:r>
              <w:br/>
            </w:r>
            <w:r>
              <w:br/>
            </w:r>
            <w:r>
              <w:rPr>
                <w:rFonts w:ascii="SimSun" w:hAnsi="SimSun"/>
                <w:b w:val="false"/>
                <w:i w:val="false"/>
                <w:color w:val="000000"/>
                <w:sz w:val="21"/>
              </w:rPr>
              <w:t>Philosophy of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人工智能哲学</w:t>
            </w:r>
            <w:r>
              <w:br/>
            </w:r>
            <w:r>
              <w:br/>
            </w:r>
            <w:r>
              <w:rPr>
                <w:rFonts w:ascii="SimSun" w:hAnsi="SimSun"/>
                <w:b w:val="false"/>
                <w:i w:val="false"/>
                <w:color w:val="000000"/>
                <w:sz w:val="21"/>
              </w:rPr>
              <w:t>Philosophy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科学、技术与社会（STS）</w:t>
            </w:r>
            <w:r>
              <w:br/>
            </w:r>
            <w:r>
              <w:br/>
            </w:r>
            <w:r>
              <w:rPr>
                <w:rFonts w:ascii="SimSun" w:hAnsi="SimSun"/>
                <w:b w:val="false"/>
                <w:i w:val="false"/>
                <w:color w:val="000000"/>
                <w:sz w:val="21"/>
              </w:rPr>
              <w:t>Science，Technology and Social(STS)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按照“荣誉项目路径”修读各类课程，修满34学分。要求在"专业进阶课程I"课程中修读至少20学分，在"专业进阶课程II"课程中修读至少14学分（其中须选修1门专业外语，不限方向，限选1门）。同时修读荣誉课程的学分数不低于24学分，即在哲学学院开设的14门荣誉课程中至少修读6门。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课程的学分可按本院制订的课程替代方案进行学分转换与认定，但学分转换与认定只作为本科毕业资格审核的依据，成绩单则如实记载学生所修课程与成绩，不作变更。学生修读荣誉课程的学分如超过用于替换的《普通培养方案》中相应课程的学分可转换成任意选修学分，但成绩不作变更。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证明论</w:t>
            </w:r>
            <w:r>
              <w:br/>
            </w:r>
            <w:r>
              <w:br/>
            </w:r>
            <w:r>
              <w:rPr>
                <w:rFonts w:ascii="SimSun" w:hAnsi="SimSun"/>
                <w:b w:val="false"/>
                <w:i w:val="false"/>
                <w:color w:val="000000"/>
                <w:sz w:val="21"/>
              </w:rPr>
              <w:t>Proof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模态逻辑</w:t>
            </w:r>
            <w:r>
              <w:br/>
            </w:r>
            <w:r>
              <w:br/>
            </w:r>
            <w:r>
              <w:rPr>
                <w:rFonts w:ascii="SimSun" w:hAnsi="SimSun"/>
                <w:b w:val="false"/>
                <w:i w:val="false"/>
                <w:color w:val="000000"/>
                <w:sz w:val="21"/>
              </w:rPr>
              <w:t>Modal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逻辑史</w:t>
            </w:r>
            <w:r>
              <w:br/>
            </w:r>
            <w:r>
              <w:br/>
            </w:r>
            <w:r>
              <w:rPr>
                <w:rFonts w:ascii="SimSun" w:hAnsi="SimSun"/>
                <w:b w:val="false"/>
                <w:i w:val="false"/>
                <w:color w:val="000000"/>
                <w:sz w:val="21"/>
              </w:rPr>
              <w:t>History of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高等逻辑</w:t>
            </w:r>
            <w:r>
              <w:br/>
            </w:r>
            <w:r>
              <w:br/>
            </w:r>
            <w:r>
              <w:rPr>
                <w:rFonts w:ascii="SimSun" w:hAnsi="SimSun"/>
                <w:b w:val="false"/>
                <w:i w:val="false"/>
                <w:color w:val="000000"/>
                <w:sz w:val="21"/>
              </w:rPr>
              <w:t>Advanced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模型论导论</w:t>
            </w:r>
            <w:r>
              <w:br/>
            </w:r>
            <w:r>
              <w:br/>
            </w:r>
            <w:r>
              <w:rPr>
                <w:rFonts w:ascii="SimSun" w:hAnsi="SimSun"/>
                <w:b w:val="false"/>
                <w:i w:val="false"/>
                <w:color w:val="000000"/>
                <w:sz w:val="21"/>
              </w:rPr>
              <w:t>Introduction to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w:t>
            </w:r>
            <w:r>
              <w:br/>
            </w:r>
            <w:r>
              <w:br/>
            </w:r>
            <w:r>
              <w:rPr>
                <w:rFonts w:ascii="SimSun" w:hAnsi="SimSun"/>
                <w:b w:val="false"/>
                <w:i w:val="false"/>
                <w:color w:val="000000"/>
                <w:sz w:val="21"/>
              </w:rPr>
              <w:t>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w:t>
            </w:r>
            <w:r>
              <w:br/>
            </w:r>
            <w:r>
              <w:br/>
            </w:r>
            <w:r>
              <w:rPr>
                <w:rFonts w:ascii="SimSun" w:hAnsi="SimSun"/>
                <w:b w:val="false"/>
                <w:i w:val="false"/>
                <w:color w:val="000000"/>
                <w:sz w:val="21"/>
              </w:rPr>
              <w:t>Theory of Computability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The Principle of Mathematical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非经典逻辑选讲</w:t>
            </w:r>
            <w:r>
              <w:br/>
            </w:r>
            <w:r>
              <w:br/>
            </w:r>
            <w:r>
              <w:rPr>
                <w:rFonts w:ascii="SimSun" w:hAnsi="SimSun"/>
                <w:b w:val="false"/>
                <w:i w:val="false"/>
                <w:color w:val="000000"/>
                <w:sz w:val="21"/>
              </w:rPr>
              <w:t>Topics in Non-Classical Logic</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数学哲学</w:t>
            </w:r>
            <w:r>
              <w:br/>
            </w:r>
            <w:r>
              <w:br/>
            </w:r>
            <w:r>
              <w:rPr>
                <w:rFonts w:ascii="SimSun" w:hAnsi="SimSun"/>
                <w:b w:val="false"/>
                <w:i w:val="false"/>
                <w:color w:val="000000"/>
                <w:sz w:val="21"/>
              </w:rPr>
              <w:t>Philosophy of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弗雷格原著选读</w:t>
            </w:r>
            <w:r>
              <w:br/>
            </w:r>
            <w:r>
              <w:br/>
            </w:r>
            <w:r>
              <w:rPr>
                <w:rFonts w:ascii="SimSun" w:hAnsi="SimSun"/>
                <w:b w:val="false"/>
                <w:i w:val="false"/>
                <w:color w:val="000000"/>
                <w:sz w:val="21"/>
              </w:rPr>
              <w:t>Frege Selected Readings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心理学哲学</w:t>
            </w:r>
            <w:r>
              <w:br/>
            </w:r>
            <w:r>
              <w:br/>
            </w:r>
            <w:r>
              <w:rPr>
                <w:rFonts w:ascii="SimSun" w:hAnsi="SimSun"/>
                <w:b w:val="false"/>
                <w:i w:val="false"/>
                <w:color w:val="000000"/>
                <w:sz w:val="21"/>
              </w:rPr>
              <w:t>Philosophy of Psychology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生物学哲学</w:t>
            </w:r>
            <w:r>
              <w:br/>
            </w:r>
            <w:r>
              <w:br/>
            </w:r>
            <w:r>
              <w:rPr>
                <w:rFonts w:ascii="SimSun" w:hAnsi="SimSun"/>
                <w:b w:val="false"/>
                <w:i w:val="false"/>
                <w:color w:val="000000"/>
                <w:sz w:val="21"/>
              </w:rPr>
              <w:t>Philosophy of Biology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科学思想史</w:t>
            </w:r>
            <w:r>
              <w:br/>
            </w:r>
            <w:r>
              <w:br/>
            </w:r>
            <w:r>
              <w:rPr>
                <w:rFonts w:ascii="SimSun" w:hAnsi="SimSun"/>
                <w:b w:val="false"/>
                <w:i w:val="false"/>
                <w:color w:val="000000"/>
                <w:sz w:val="21"/>
              </w:rPr>
              <w:t>History of Scientific Ideology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科学方法论</w:t>
            </w:r>
            <w:r>
              <w:br/>
            </w:r>
            <w:r>
              <w:br/>
            </w:r>
            <w:r>
              <w:rPr>
                <w:rFonts w:ascii="SimSun" w:hAnsi="SimSun"/>
                <w:b w:val="false"/>
                <w:i w:val="false"/>
                <w:color w:val="000000"/>
                <w:sz w:val="21"/>
              </w:rPr>
              <w:t>Scientific Methodology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生态哲学</w:t>
            </w:r>
            <w:r>
              <w:br/>
            </w:r>
            <w:r>
              <w:br/>
            </w:r>
            <w:r>
              <w:rPr>
                <w:rFonts w:ascii="SimSun" w:hAnsi="SimSun"/>
                <w:b w:val="false"/>
                <w:i w:val="false"/>
                <w:color w:val="000000"/>
                <w:sz w:val="21"/>
              </w:rPr>
              <w:t>Philosophy of Ecology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