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2025广告学（商业传播）专业本科培养方案（港澳台侨生）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培养德智体美劳全面发展，具备宽厚的人文、社会科学和自然科学基础知识，掌握系统的新闻传播学理论知识和业务技能，能够以马克思主义新闻观分析新闻传播现象与问题，熟悉我国新闻传播政策法规，熟悉媒体运作机制与发展趋势，具有高远的职业理想和良好的职业道德，适应经济社会发展和全媒体时代要求，能够胜任现代传媒组织、新媒体企业、广告与公关公司、党政机关、社会机构等工作岗位的复合型、创新型、应用型新闻传播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961467"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61467"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148667" cy="1100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48667" cy="11006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86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8626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1、专业进阶路径：106学分                                                                </w:t>
      </w:r>
    </w:p>
    <w:p>
      <w:pPr>
        <w:spacing w:after="0"/>
        <w:ind w:left="0"/>
        <w:jc w:val="left"/>
      </w:pPr>
      <w:r>
        <w:rPr>
          <w:rFonts w:ascii="SimSun" w:hAnsi="SimSun"/>
          <w:b w:val="false"/>
          <w:i w:val="false"/>
          <w:color w:val="000000"/>
          <w:sz w:val="21"/>
        </w:rPr>
        <w:t>本路径学生需要完成106学分（含实践学分不低于16学分；含美育学分不少于2学分，其中至少在“美学和艺术史论类”或“艺术鉴赏和评论类”课程中修读1学分，并至少参与一项艺术实践活动；劳动教育不少于32学时，并满足劳动周教育要求），包括通识教育课程14学分、专业培养课程50学分、专业进阶模块32学分、融合创新能力培养10学分。</w:t>
      </w:r>
    </w:p>
    <w:p>
      <w:pPr>
        <w:spacing w:after="0"/>
        <w:ind w:left="0"/>
        <w:jc w:val="left"/>
      </w:pPr>
      <w:r>
        <w:rPr>
          <w:rFonts w:ascii="SimSun" w:hAnsi="SimSun"/>
          <w:b w:val="false"/>
          <w:i w:val="false"/>
          <w:color w:val="000000"/>
          <w:sz w:val="21"/>
        </w:rPr>
        <w:t>2、本科荣誉项目：106学分</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3、跨学科发展路径：106学分</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（3）在此基础上，达到新闻学院“本科荣誉证书”获得条件的授予“本科荣誉证书”，具体要求请见新闻学院“本科荣誉项目”实施方案。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要求修读8学分，含七大模块课程8学分（每模块最多修读1门课程）。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社会研究方法B</w:t>
            </w:r>
            <w:r>
              <w:br/>
            </w:r>
            <w:r>
              <w:br/>
            </w:r>
            <w:r>
              <w:rPr>
                <w:rFonts w:ascii="SimSun" w:hAnsi="SimSun"/>
                <w:b w:val="false"/>
                <w:i w:val="false"/>
                <w:color w:val="000000"/>
                <w:sz w:val="21"/>
              </w:rPr>
              <w:t>Research Methods in Sociology B</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专业培养课程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专业必修课程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商业文明史</w:t>
            </w:r>
            <w:r>
              <w:br/>
            </w:r>
            <w:r>
              <w:br/>
            </w:r>
            <w:r>
              <w:rPr>
                <w:rFonts w:ascii="SimSun" w:hAnsi="SimSun"/>
                <w:b w:val="false"/>
                <w:i w:val="false"/>
                <w:color w:val="000000"/>
                <w:sz w:val="21"/>
              </w:rPr>
              <w:t>History of Business Civilization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商业传播导论</w:t>
            </w:r>
            <w:r>
              <w:br/>
            </w:r>
            <w:r>
              <w:br/>
            </w:r>
            <w:r>
              <w:rPr>
                <w:rFonts w:ascii="SimSun" w:hAnsi="SimSun"/>
                <w:b w:val="false"/>
                <w:i w:val="false"/>
                <w:color w:val="000000"/>
                <w:sz w:val="21"/>
              </w:rPr>
              <w:t>Introduction to Business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消费心理与消费行为</w:t>
            </w:r>
            <w:r>
              <w:br/>
            </w:r>
            <w:r>
              <w:br/>
            </w:r>
            <w:r>
              <w:rPr>
                <w:rFonts w:ascii="SimSun" w:hAnsi="SimSun"/>
                <w:b w:val="false"/>
                <w:i w:val="false"/>
                <w:color w:val="000000"/>
                <w:sz w:val="21"/>
              </w:rPr>
              <w:t>Consumer Behavior and Psychology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智能市场研究</w:t>
            </w:r>
            <w:r>
              <w:br/>
            </w:r>
            <w:r>
              <w:br/>
            </w:r>
            <w:r>
              <w:rPr>
                <w:rFonts w:ascii="SimSun" w:hAnsi="SimSun"/>
                <w:b w:val="false"/>
                <w:i w:val="false"/>
                <w:color w:val="000000"/>
                <w:sz w:val="21"/>
              </w:rPr>
              <w:t>AI Market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智能创意与表现</w:t>
            </w:r>
            <w:r>
              <w:br/>
            </w:r>
            <w:r>
              <w:br/>
            </w:r>
            <w:r>
              <w:rPr>
                <w:rFonts w:ascii="SimSun" w:hAnsi="SimSun"/>
                <w:b w:val="false"/>
                <w:i w:val="false"/>
                <w:color w:val="000000"/>
                <w:sz w:val="21"/>
              </w:rPr>
              <w:t>AI Creativity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商业修辞与写作</w:t>
            </w:r>
            <w:r>
              <w:br/>
            </w:r>
            <w:r>
              <w:br/>
            </w:r>
            <w:r>
              <w:rPr>
                <w:rFonts w:ascii="SimSun" w:hAnsi="SimSun"/>
                <w:b w:val="false"/>
                <w:i w:val="false"/>
                <w:color w:val="000000"/>
                <w:sz w:val="21"/>
              </w:rPr>
              <w:t>Business Rhetoric and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公共关系学</w:t>
            </w:r>
            <w:r>
              <w:br/>
            </w:r>
            <w:r>
              <w:br/>
            </w:r>
            <w:r>
              <w:rPr>
                <w:rFonts w:ascii="SimSun" w:hAnsi="SimSun"/>
                <w:b w:val="false"/>
                <w:i w:val="false"/>
                <w:color w:val="000000"/>
                <w:sz w:val="21"/>
              </w:rPr>
              <w:t>Public Relations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营销传播策划</w:t>
            </w:r>
            <w:r>
              <w:br/>
            </w:r>
            <w:r>
              <w:br/>
            </w:r>
            <w:r>
              <w:rPr>
                <w:rFonts w:ascii="SimSun" w:hAnsi="SimSun"/>
                <w:b w:val="false"/>
                <w:i w:val="false"/>
                <w:color w:val="000000"/>
                <w:sz w:val="21"/>
              </w:rPr>
              <w:t>Marketing Communications Strategy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企业传播</w:t>
            </w:r>
            <w:r>
              <w:br/>
            </w:r>
            <w:r>
              <w:br/>
            </w:r>
            <w:r>
              <w:rPr>
                <w:rFonts w:ascii="SimSun" w:hAnsi="SimSun"/>
                <w:b w:val="false"/>
                <w:i w:val="false"/>
                <w:color w:val="000000"/>
                <w:sz w:val="21"/>
              </w:rPr>
              <w:t>Corporate Communication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修满32学分。要求在本专业进阶课程修读32学分，每个进阶模块修满16学分。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视听节目策划</w:t>
            </w:r>
            <w:r>
              <w:br/>
            </w:r>
            <w:r>
              <w:br/>
            </w:r>
            <w:r>
              <w:rPr>
                <w:rFonts w:ascii="SimSun" w:hAnsi="SimSun"/>
                <w:b w:val="false"/>
                <w:i w:val="false"/>
                <w:color w:val="000000"/>
                <w:sz w:val="21"/>
              </w:rPr>
              <w:t>Audio and Visual Program Plan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聆听流行音乐</w:t>
            </w:r>
            <w:r>
              <w:br/>
            </w:r>
            <w:r>
              <w:br/>
            </w:r>
            <w:r>
              <w:rPr>
                <w:rFonts w:ascii="SimSun" w:hAnsi="SimSun"/>
                <w:b w:val="false"/>
                <w:i w:val="false"/>
                <w:color w:val="000000"/>
                <w:sz w:val="21"/>
              </w:rPr>
              <w:t>Listening to Popular Music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网络视听文化</w:t>
            </w:r>
            <w:r>
              <w:br/>
            </w:r>
            <w:r>
              <w:br/>
            </w:r>
            <w:r>
              <w:rPr>
                <w:rFonts w:ascii="SimSun" w:hAnsi="SimSun"/>
                <w:b w:val="false"/>
                <w:i w:val="false"/>
                <w:color w:val="000000"/>
                <w:sz w:val="21"/>
              </w:rPr>
              <w:t>Digital Visual-Audio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视听传播规制与版权</w:t>
            </w:r>
            <w:r>
              <w:br/>
            </w:r>
            <w:r>
              <w:br/>
            </w:r>
            <w:r>
              <w:rPr>
                <w:rFonts w:ascii="SimSun" w:hAnsi="SimSun"/>
                <w:b w:val="false"/>
                <w:i w:val="false"/>
                <w:color w:val="000000"/>
                <w:sz w:val="21"/>
              </w:rPr>
              <w:t>Regulation of Audio-visual Communication and Content Copyright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w:t>
            </w:r>
            <w:r>
              <w:br/>
            </w:r>
            <w:r>
              <w:br/>
            </w:r>
            <w:r>
              <w:rPr>
                <w:rFonts w:ascii="SimSun" w:hAnsi="SimSun"/>
                <w:b w:val="false"/>
                <w:i w:val="false"/>
                <w:color w:val="000000"/>
                <w:sz w:val="21"/>
              </w:rPr>
              <w:t>Art of Film and Television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数字游戏案例分析</w:t>
            </w:r>
            <w:r>
              <w:br/>
            </w:r>
            <w:r>
              <w:br/>
            </w:r>
            <w:r>
              <w:rPr>
                <w:rFonts w:ascii="SimSun" w:hAnsi="SimSun"/>
                <w:b w:val="false"/>
                <w:i w:val="false"/>
                <w:color w:val="000000"/>
                <w:sz w:val="21"/>
              </w:rPr>
              <w:t>Case Analysis of Digital Games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视听大数据计算传播</w:t>
            </w:r>
            <w:r>
              <w:br/>
            </w:r>
            <w:r>
              <w:br/>
            </w:r>
            <w:r>
              <w:rPr>
                <w:rFonts w:ascii="SimSun" w:hAnsi="SimSun"/>
                <w:b w:val="false"/>
                <w:i w:val="false"/>
                <w:color w:val="000000"/>
                <w:sz w:val="21"/>
              </w:rPr>
              <w:t>Auditory-Visual Big Data Computational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新媒体艺术与智能生成传播</w:t>
            </w:r>
            <w:r>
              <w:br/>
            </w:r>
            <w:r>
              <w:br/>
            </w:r>
            <w:r>
              <w:rPr>
                <w:rFonts w:ascii="SimSun" w:hAnsi="SimSun"/>
                <w:b w:val="false"/>
                <w:i w:val="false"/>
                <w:color w:val="000000"/>
                <w:sz w:val="21"/>
              </w:rPr>
              <w:t>New Media Art and Intelligence Generative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计算机仿生传播</w:t>
            </w:r>
            <w:r>
              <w:br/>
            </w:r>
            <w:r>
              <w:br/>
            </w:r>
            <w:r>
              <w:rPr>
                <w:rFonts w:ascii="SimSun" w:hAnsi="SimSun"/>
                <w:b w:val="false"/>
                <w:i w:val="false"/>
                <w:color w:val="000000"/>
                <w:sz w:val="21"/>
              </w:rPr>
              <w:t>Biologically Inspired Computer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视听创意与写作</w:t>
            </w:r>
            <w:r>
              <w:br/>
            </w:r>
            <w:r>
              <w:br/>
            </w:r>
            <w:r>
              <w:rPr>
                <w:rFonts w:ascii="SimSun" w:hAnsi="SimSun"/>
                <w:b w:val="false"/>
                <w:i w:val="false"/>
                <w:color w:val="000000"/>
                <w:sz w:val="21"/>
              </w:rPr>
              <w:t>Creative Screenwriting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数字音频市场与在线播客</w:t>
            </w:r>
            <w:r>
              <w:br/>
            </w:r>
            <w:r>
              <w:br/>
            </w:r>
            <w:r>
              <w:rPr>
                <w:rFonts w:ascii="SimSun" w:hAnsi="SimSun"/>
                <w:b w:val="false"/>
                <w:i w:val="false"/>
                <w:color w:val="000000"/>
                <w:sz w:val="21"/>
              </w:rPr>
              <w:t>Digital Audio Industry and Online Podcasting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娱乐节目与娱乐产业</w:t>
            </w:r>
            <w:r>
              <w:br/>
            </w:r>
            <w:r>
              <w:br/>
            </w:r>
            <w:r>
              <w:rPr>
                <w:rFonts w:ascii="SimSun" w:hAnsi="SimSun"/>
                <w:b w:val="false"/>
                <w:i w:val="false"/>
                <w:color w:val="000000"/>
                <w:sz w:val="21"/>
              </w:rPr>
              <w:t>Entertainment Programme and Entertaining Industries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动漫艺术与产业</w:t>
            </w:r>
            <w:r>
              <w:br/>
            </w:r>
            <w:r>
              <w:br/>
            </w:r>
            <w:r>
              <w:rPr>
                <w:rFonts w:ascii="SimSun" w:hAnsi="SimSun"/>
                <w:b w:val="false"/>
                <w:i w:val="false"/>
                <w:color w:val="000000"/>
                <w:sz w:val="21"/>
              </w:rPr>
              <w:t>Animation Art and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镜前创作与训练</w:t>
            </w:r>
            <w:r>
              <w:br/>
            </w:r>
            <w:r>
              <w:br/>
            </w:r>
            <w:r>
              <w:rPr>
                <w:rFonts w:ascii="SimSun" w:hAnsi="SimSun"/>
                <w:b w:val="false"/>
                <w:i w:val="false"/>
                <w:color w:val="000000"/>
                <w:sz w:val="21"/>
              </w:rPr>
              <w:t>On-Camera Performance and Training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微纪录工作室</w:t>
            </w:r>
            <w:r>
              <w:br/>
            </w:r>
            <w:r>
              <w:br/>
            </w:r>
            <w:r>
              <w:rPr>
                <w:rFonts w:ascii="SimSun" w:hAnsi="SimSun"/>
                <w:b w:val="false"/>
                <w:i w:val="false"/>
                <w:color w:val="000000"/>
                <w:sz w:val="21"/>
              </w:rPr>
              <w:t>Micro Documentary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微视听工作室</w:t>
            </w:r>
            <w:r>
              <w:br/>
            </w:r>
            <w:r>
              <w:br/>
            </w:r>
            <w:r>
              <w:rPr>
                <w:rFonts w:ascii="SimSun" w:hAnsi="SimSun"/>
                <w:b w:val="false"/>
                <w:i w:val="false"/>
                <w:color w:val="000000"/>
                <w:sz w:val="21"/>
              </w:rPr>
              <w:t>Short-Form Media Production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商业、传播与社会</w:t>
            </w:r>
            <w:r>
              <w:br/>
            </w:r>
            <w:r>
              <w:br/>
            </w:r>
            <w:r>
              <w:rPr>
                <w:rFonts w:ascii="SimSun" w:hAnsi="SimSun"/>
                <w:b w:val="false"/>
                <w:i w:val="false"/>
                <w:color w:val="000000"/>
                <w:sz w:val="21"/>
              </w:rPr>
              <w:t>Business, Communication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商业摄影</w:t>
            </w:r>
            <w:r>
              <w:br/>
            </w:r>
            <w:r>
              <w:br/>
            </w:r>
            <w:r>
              <w:rPr>
                <w:rFonts w:ascii="SimSun" w:hAnsi="SimSun"/>
                <w:b w:val="false"/>
                <w:i w:val="false"/>
                <w:color w:val="000000"/>
                <w:sz w:val="21"/>
              </w:rPr>
              <w:t>Commercial Photography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视听广告创作</w:t>
            </w:r>
            <w:r>
              <w:br/>
            </w:r>
            <w:r>
              <w:br/>
            </w:r>
            <w:r>
              <w:rPr>
                <w:rFonts w:ascii="SimSun" w:hAnsi="SimSun"/>
                <w:b w:val="false"/>
                <w:i w:val="false"/>
                <w:color w:val="000000"/>
                <w:sz w:val="21"/>
              </w:rPr>
              <w:t>Audiovisual Advertising Producing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数字音频广告</w:t>
            </w:r>
            <w:r>
              <w:br/>
            </w:r>
            <w:r>
              <w:br/>
            </w:r>
            <w:r>
              <w:rPr>
                <w:rFonts w:ascii="SimSun" w:hAnsi="SimSun"/>
                <w:b w:val="false"/>
                <w:i w:val="false"/>
                <w:color w:val="000000"/>
                <w:sz w:val="21"/>
              </w:rPr>
              <w:t>Digital Audio Advertising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美术与插画工作室</w:t>
            </w:r>
            <w:r>
              <w:br/>
            </w:r>
            <w:r>
              <w:br/>
            </w:r>
            <w:r>
              <w:rPr>
                <w:rFonts w:ascii="SimSun" w:hAnsi="SimSun"/>
                <w:b w:val="false"/>
                <w:i w:val="false"/>
                <w:color w:val="000000"/>
                <w:sz w:val="21"/>
              </w:rPr>
              <w:t>Sketch and Illustration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促销、宣传与表现</w:t>
            </w:r>
            <w:r>
              <w:br/>
            </w:r>
            <w:r>
              <w:br/>
            </w:r>
            <w:r>
              <w:rPr>
                <w:rFonts w:ascii="SimSun" w:hAnsi="SimSun"/>
                <w:b w:val="false"/>
                <w:i w:val="false"/>
                <w:color w:val="000000"/>
                <w:sz w:val="21"/>
              </w:rPr>
              <w:t>Promotion、Propaganda and Expression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整合营销传播</w:t>
            </w:r>
            <w:r>
              <w:br/>
            </w:r>
            <w:r>
              <w:br/>
            </w:r>
            <w:r>
              <w:rPr>
                <w:rFonts w:ascii="SimSun" w:hAnsi="SimSun"/>
                <w:b w:val="false"/>
                <w:i w:val="false"/>
                <w:color w:val="000000"/>
                <w:sz w:val="21"/>
              </w:rPr>
              <w:t>Integrated Marketing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广告文化研究</w:t>
            </w:r>
            <w:r>
              <w:br/>
            </w:r>
            <w:r>
              <w:br/>
            </w:r>
            <w:r>
              <w:rPr>
                <w:rFonts w:ascii="SimSun" w:hAnsi="SimSun"/>
                <w:b w:val="false"/>
                <w:i w:val="false"/>
                <w:color w:val="000000"/>
                <w:sz w:val="21"/>
              </w:rPr>
              <w:t>Research on Advertising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青年文化与品牌传播</w:t>
            </w:r>
            <w:r>
              <w:br/>
            </w:r>
            <w:r>
              <w:br/>
            </w:r>
            <w:r>
              <w:rPr>
                <w:rFonts w:ascii="SimSun" w:hAnsi="SimSun"/>
                <w:b w:val="false"/>
                <w:i w:val="false"/>
                <w:color w:val="000000"/>
                <w:sz w:val="21"/>
              </w:rPr>
              <w:t>Youth Culture and Brand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企业责任与全球可持续发展</w:t>
            </w:r>
            <w:r>
              <w:br/>
            </w:r>
            <w:r>
              <w:br/>
            </w:r>
            <w:r>
              <w:rPr>
                <w:rFonts w:ascii="SimSun" w:hAnsi="SimSun"/>
                <w:b w:val="false"/>
                <w:i w:val="false"/>
                <w:color w:val="000000"/>
                <w:sz w:val="21"/>
              </w:rPr>
              <w:t>Corporate Social Responsibility Communication and Global Sustainable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商业法律</w:t>
            </w:r>
            <w:r>
              <w:br/>
            </w:r>
            <w:r>
              <w:br/>
            </w:r>
            <w:r>
              <w:rPr>
                <w:rFonts w:ascii="SimSun" w:hAnsi="SimSun"/>
                <w:b w:val="false"/>
                <w:i w:val="false"/>
                <w:color w:val="000000"/>
                <w:sz w:val="21"/>
              </w:rPr>
              <w:t>Business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海派商业文化专题研究</w:t>
            </w:r>
            <w:r>
              <w:br/>
            </w:r>
            <w:r>
              <w:br/>
            </w:r>
            <w:r>
              <w:rPr>
                <w:rFonts w:ascii="SimSun" w:hAnsi="SimSun"/>
                <w:b w:val="false"/>
                <w:i w:val="false"/>
                <w:color w:val="000000"/>
                <w:sz w:val="21"/>
              </w:rPr>
              <w:t>Shanghai Business Culture Research Workshop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修满32学分。要求修读1个创新创业学院开设的创新创业微专业（学程），以及1个非本专业独立开设的学程。学分不足部分可在全校所有本科生课程中任意选修。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修满56学分。要求至少修读本专业的进阶课程16学分和和1个辅修学士学位项目，辅修学士学位应与主修学士学位归属不同的本科专业大类。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公益传播工作坊</w:t>
            </w:r>
            <w:r>
              <w:br/>
            </w:r>
            <w:r>
              <w:br/>
            </w:r>
            <w:r>
              <w:rPr>
                <w:rFonts w:ascii="SimSun" w:hAnsi="SimSun"/>
                <w:b w:val="false"/>
                <w:i w:val="false"/>
                <w:color w:val="000000"/>
                <w:sz w:val="21"/>
              </w:rPr>
              <w:t>Public Welfare Communication Worksho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商业传播工作坊</w:t>
            </w:r>
            <w:r>
              <w:br/>
            </w:r>
            <w:r>
              <w:br/>
            </w:r>
            <w:r>
              <w:rPr>
                <w:rFonts w:ascii="SimSun" w:hAnsi="SimSun"/>
                <w:b w:val="false"/>
                <w:i w:val="false"/>
                <w:color w:val="000000"/>
                <w:sz w:val="21"/>
              </w:rPr>
              <w:t>Business Communication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