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2025级药学专业教学培养方案（港澳台）</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首批“双一流”建设学科，并于2022年再次入选第二轮双一流学科建设名单，2019年入选第一批国家级一流本科专业建设点，2021年入选第一批教育部药学拔尖学生培养计划2.0基地。药学院学科齐全，药学一级学科下设7个二级学科，药物化学、微生物与生化药学、药理学、药剂学、药物分析学，生药学与天然药物化学以及临床药学。其中药剂学科为国家重点学科，药理学科为上海市重点学科。药理学与毒理学学科（ESI）世界排名为第35位，中国为第4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能够具有初步的药物设计及合成的能力、药物制剂的初步设计能力、选择药物分析方法的能力、新药药理实验与评价的能力、参与临床合理用药的能力；具备一定的新药研究和开发及实际工作能力，可以从事从事药物发现和评价、药物制剂设计与制备、药品质量标准研究和质量控制、药品管理以及药学服务等方面工作的高素质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要求学生掌握药剂学、药理学、药物化学和药物分析等学科的基本理论、基本知识；学会主要药物制备、质量控制、药物与生物体相互作用、药效学和药物安全性评价等基本方法和技术；接受药学实验方法和技能的基本训练和创新思维能力培养，熟悉药事管理的法规、政策与营销的基本知识，了解现代药学的发展动态。</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436"/>
        <w:gridCol w:w="1436"/>
        <w:gridCol w:w="1460"/>
        <w:gridCol w:w="1460"/>
        <w:gridCol w:w="1432"/>
        <w:gridCol w:w="1432"/>
        <w:gridCol w:w="1432"/>
        <w:gridCol w:w="1433"/>
      </w:tblGrid>
      <w:tr>
        <w:trPr>
          <w:trHeight w:val="36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4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药学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总学分不少于118</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通识教育课程13学分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专业培养课程75学分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专业进阶模块20学分</w:t>
            </w:r>
          </w:p>
        </w:tc>
      </w:tr>
      <w:tr>
        <w:trPr>
          <w:trHeight w:val="180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融合创新能力模块10学分</w:t>
            </w:r>
          </w:p>
        </w:tc>
      </w:tr>
    </w:tbl>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4年级结束时，如达到学士学位要求者理授予理学学士学位。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732145" cy="296966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2145" cy="296966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药物设计学</w:t>
            </w:r>
            <w:r>
              <w:br/>
            </w:r>
            <w:r>
              <w:br/>
            </w:r>
            <w:r>
              <w:rPr>
                <w:rFonts w:ascii="SimSun" w:hAnsi="SimSun"/>
                <w:b w:val="false"/>
                <w:i w:val="false"/>
                <w:color w:val="000000"/>
                <w:sz w:val="21"/>
              </w:rPr>
              <w:t>Drug Design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8"/>
        <w:gridCol w:w="2713"/>
        <w:gridCol w:w="676"/>
        <w:gridCol w:w="675"/>
        <w:gridCol w:w="936"/>
        <w:gridCol w:w="1647"/>
        <w:gridCol w:w="676"/>
        <w:gridCol w:w="672"/>
        <w:gridCol w:w="672"/>
        <w:gridCol w:w="672"/>
        <w:gridCol w:w="939"/>
        <w:gridCol w:w="1338"/>
      </w:tblGrid>
      <w:tr>
        <w:trPr>
          <w:trHeight w:val="45" w:hRule="atLeast"/>
        </w:trPr>
        <w:tc>
          <w:tcPr>
            <w:tcW w:w="2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医药元素化学</w:t>
            </w:r>
            <w:r>
              <w:br/>
            </w:r>
            <w:r>
              <w:br/>
            </w:r>
            <w:r>
              <w:rPr>
                <w:rFonts w:ascii="SimSun" w:hAnsi="SimSun"/>
                <w:b w:val="false"/>
                <w:i w:val="false"/>
                <w:color w:val="000000"/>
                <w:sz w:val="21"/>
              </w:rPr>
              <w:t>Chemistry of Elements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of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有机光谱</w:t>
            </w:r>
            <w:r>
              <w:br/>
            </w:r>
            <w:r>
              <w:br/>
            </w:r>
            <w:r>
              <w:rPr>
                <w:rFonts w:ascii="SimSun" w:hAnsi="SimSun"/>
                <w:b w:val="false"/>
                <w:i w:val="false"/>
                <w:color w:val="000000"/>
                <w:sz w:val="21"/>
              </w:rPr>
              <w:t>Organic Spectroscopy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药品营销学</w:t>
            </w:r>
            <w:r>
              <w:br/>
            </w:r>
            <w:r>
              <w:br/>
            </w:r>
            <w:r>
              <w:rPr>
                <w:rFonts w:ascii="SimSun" w:hAnsi="SimSun"/>
                <w:b w:val="false"/>
                <w:i w:val="false"/>
                <w:color w:val="000000"/>
                <w:sz w:val="21"/>
              </w:rPr>
              <w:t>Medicinal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PHAR130081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诊断学基础</w:t>
            </w:r>
            <w:r>
              <w:br/>
            </w:r>
            <w:r>
              <w:br/>
            </w:r>
            <w:r>
              <w:rPr>
                <w:rFonts w:ascii="SimSun" w:hAnsi="SimSun"/>
                <w:b w:val="false"/>
                <w:i w:val="false"/>
                <w:color w:val="000000"/>
                <w:sz w:val="21"/>
              </w:rPr>
              <w:t>Basics of Diagnostics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国际医药贸易</w:t>
            </w:r>
            <w:r>
              <w:br/>
            </w:r>
            <w:r>
              <w:br/>
            </w:r>
            <w:r>
              <w:rPr>
                <w:rFonts w:ascii="SimSun" w:hAnsi="SimSun"/>
                <w:b w:val="false"/>
                <w:i w:val="false"/>
                <w:color w:val="000000"/>
                <w:sz w:val="21"/>
              </w:rPr>
              <w:t>International Pharmaceutical Trade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药学伦理学</w:t>
            </w:r>
            <w:r>
              <w:br/>
            </w:r>
            <w:r>
              <w:br/>
            </w:r>
            <w:r>
              <w:rPr>
                <w:rFonts w:ascii="SimSun" w:hAnsi="SimSun"/>
                <w:b w:val="false"/>
                <w:i w:val="false"/>
                <w:color w:val="000000"/>
                <w:sz w:val="21"/>
              </w:rPr>
              <w:t>Medical Ethics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人工智能+药学课程群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药剂学II</w:t>
            </w:r>
            <w:r>
              <w:br/>
            </w:r>
            <w:r>
              <w:br/>
            </w:r>
            <w:r>
              <w:rPr>
                <w:rFonts w:ascii="SimSun" w:hAnsi="SimSun"/>
                <w:b w:val="false"/>
                <w:i w:val="false"/>
                <w:color w:val="000000"/>
                <w:sz w:val="21"/>
              </w:rPr>
              <w:t>Pharmaceutics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w:t>
            </w:r>
            <w:r>
              <w:br/>
            </w:r>
            <w:r>
              <w:br/>
            </w:r>
            <w:r>
              <w:rPr>
                <w:rFonts w:ascii="SimSun" w:hAnsi="SimSun"/>
                <w:b w:val="false"/>
                <w:i w:val="false"/>
                <w:color w:val="000000"/>
                <w:sz w:val="21"/>
              </w:rPr>
              <w:t>Pharmacokinetics</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PHAR40007</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7"/>
        <w:gridCol w:w="2724"/>
        <w:gridCol w:w="671"/>
        <w:gridCol w:w="677"/>
        <w:gridCol w:w="935"/>
        <w:gridCol w:w="1647"/>
        <w:gridCol w:w="676"/>
        <w:gridCol w:w="671"/>
        <w:gridCol w:w="671"/>
        <w:gridCol w:w="670"/>
        <w:gridCol w:w="938"/>
        <w:gridCol w:w="1337"/>
      </w:tblGrid>
      <w:tr>
        <w:trPr>
          <w:trHeight w:val="45" w:hRule="atLeast"/>
        </w:trPr>
        <w:tc>
          <w:tcPr>
            <w:tcW w:w="2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神经药理学导论</w:t>
            </w:r>
            <w:r>
              <w:br/>
            </w:r>
            <w:r>
              <w:br/>
            </w:r>
            <w:r>
              <w:rPr>
                <w:rFonts w:ascii="SimSun" w:hAnsi="SimSun"/>
                <w:b w:val="false"/>
                <w:i w:val="false"/>
                <w:color w:val="000000"/>
                <w:sz w:val="21"/>
              </w:rPr>
              <w:t>Introduction to Neuropharmacology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药理学专题讨论</w:t>
            </w:r>
            <w:r>
              <w:br/>
            </w:r>
            <w:r>
              <w:br/>
            </w:r>
            <w:r>
              <w:rPr>
                <w:rFonts w:ascii="SimSun" w:hAnsi="SimSun"/>
                <w:b w:val="false"/>
                <w:i w:val="false"/>
                <w:color w:val="000000"/>
                <w:sz w:val="21"/>
              </w:rPr>
              <w:t>Seminar on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实验药理学</w:t>
            </w:r>
            <w:r>
              <w:br/>
            </w:r>
            <w:r>
              <w:br/>
            </w:r>
            <w:r>
              <w:rPr>
                <w:rFonts w:ascii="SimSun" w:hAnsi="SimSun"/>
                <w:b w:val="false"/>
                <w:i w:val="false"/>
                <w:color w:val="000000"/>
                <w:sz w:val="21"/>
              </w:rPr>
              <w:t>Experimental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药品生产与经营质量管理规范</w:t>
            </w:r>
            <w:r>
              <w:br/>
            </w:r>
            <w:r>
              <w:br/>
            </w:r>
            <w:r>
              <w:rPr>
                <w:rFonts w:ascii="SimSun" w:hAnsi="SimSun"/>
                <w:b w:val="false"/>
                <w:i w:val="false"/>
                <w:color w:val="000000"/>
                <w:sz w:val="21"/>
              </w:rPr>
              <w:t>GMP and GSP for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药用植物学II</w:t>
            </w:r>
            <w:r>
              <w:br/>
            </w:r>
            <w:r>
              <w:br/>
            </w:r>
            <w:r>
              <w:rPr>
                <w:rFonts w:ascii="SimSun" w:hAnsi="SimSun"/>
                <w:b w:val="false"/>
                <w:i w:val="false"/>
                <w:color w:val="000000"/>
                <w:sz w:val="21"/>
              </w:rPr>
              <w:t>Pharmaceutical Botany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生药学II</w:t>
            </w:r>
            <w:r>
              <w:br/>
            </w:r>
            <w:r>
              <w:br/>
            </w:r>
            <w:r>
              <w:rPr>
                <w:rFonts w:ascii="SimSun" w:hAnsi="SimSun"/>
                <w:b w:val="false"/>
                <w:i w:val="false"/>
                <w:color w:val="000000"/>
                <w:sz w:val="21"/>
              </w:rPr>
              <w:t>Pharmacognosy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体内药物分析</w:t>
            </w:r>
            <w:r>
              <w:br/>
            </w:r>
            <w:r>
              <w:br/>
            </w:r>
            <w:r>
              <w:rPr>
                <w:rFonts w:ascii="SimSun" w:hAnsi="SimSun"/>
                <w:b w:val="false"/>
                <w:i w:val="false"/>
                <w:color w:val="000000"/>
                <w:sz w:val="21"/>
              </w:rPr>
              <w:t>Biopharmaceutical Analysis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药用高分子材料学</w:t>
            </w:r>
            <w:r>
              <w:br/>
            </w:r>
            <w:r>
              <w:br/>
            </w:r>
            <w:r>
              <w:rPr>
                <w:rFonts w:ascii="SimSun" w:hAnsi="SimSun"/>
                <w:b w:val="false"/>
                <w:i w:val="false"/>
                <w:color w:val="000000"/>
                <w:sz w:val="21"/>
              </w:rPr>
              <w:t>Polymers in Pharmaceuticals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化学制药工艺学</w:t>
            </w:r>
            <w:r>
              <w:br/>
            </w:r>
            <w:r>
              <w:br/>
            </w:r>
            <w:r>
              <w:rPr>
                <w:rFonts w:ascii="SimSun" w:hAnsi="SimSun"/>
                <w:b w:val="false"/>
                <w:i w:val="false"/>
                <w:color w:val="000000"/>
                <w:sz w:val="21"/>
              </w:rPr>
              <w:t>Process Chemistry in the Pharmaceutical Industry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天然药物化学II</w:t>
            </w:r>
            <w:r>
              <w:br/>
            </w:r>
            <w:r>
              <w:br/>
            </w:r>
            <w:r>
              <w:rPr>
                <w:rFonts w:ascii="SimSun" w:hAnsi="SimSun"/>
                <w:b w:val="false"/>
                <w:i w:val="false"/>
                <w:color w:val="000000"/>
                <w:sz w:val="21"/>
              </w:rPr>
              <w:t>Natural Products Chemistry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食品化学</w:t>
            </w:r>
            <w:r>
              <w:br/>
            </w:r>
            <w:r>
              <w:br/>
            </w:r>
            <w:r>
              <w:rPr>
                <w:rFonts w:ascii="SimSun" w:hAnsi="SimSun"/>
                <w:b w:val="false"/>
                <w:i w:val="false"/>
                <w:color w:val="000000"/>
                <w:sz w:val="21"/>
              </w:rPr>
              <w:t>Food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w:t>
            </w:r>
            <w:r>
              <w:br/>
            </w:r>
            <w:r>
              <w:br/>
            </w:r>
            <w:r>
              <w:rPr>
                <w:rFonts w:ascii="SimSun" w:hAnsi="SimSun"/>
                <w:b w:val="false"/>
                <w:i w:val="false"/>
                <w:color w:val="000000"/>
                <w:sz w:val="21"/>
              </w:rPr>
              <w:t>Biological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中药新药的研究与开发</w:t>
            </w:r>
            <w:r>
              <w:br/>
            </w:r>
            <w:r>
              <w:br/>
            </w:r>
            <w:r>
              <w:rPr>
                <w:rFonts w:ascii="SimSun" w:hAnsi="SimSun"/>
                <w:b w:val="false"/>
                <w:i w:val="false"/>
                <w:color w:val="000000"/>
                <w:sz w:val="21"/>
              </w:rPr>
              <w:t>Research and Development of New Traditional Chinese Medicine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天然药物研究前沿技术</w:t>
            </w:r>
            <w:r>
              <w:br/>
            </w:r>
            <w:r>
              <w:br/>
            </w:r>
            <w:r>
              <w:rPr>
                <w:rFonts w:ascii="SimSun" w:hAnsi="SimSun"/>
                <w:b w:val="false"/>
                <w:i w:val="false"/>
                <w:color w:val="000000"/>
                <w:sz w:val="21"/>
              </w:rPr>
              <w:t>New Technology in Natural Product Research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医院药学</w:t>
            </w:r>
            <w:r>
              <w:br/>
            </w:r>
            <w:r>
              <w:br/>
            </w:r>
            <w:r>
              <w:rPr>
                <w:rFonts w:ascii="SimSun" w:hAnsi="SimSun"/>
                <w:b w:val="false"/>
                <w:i w:val="false"/>
                <w:color w:val="000000"/>
                <w:sz w:val="21"/>
              </w:rPr>
              <w:t>Hospital Pharmacy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需修读专业进阶I、专业进阶II模块和荣誉项目。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（2）修读荣誉课程的学分数不少于24分，课程门数不少于6门，荣誉课程的成绩平均绩点要求3.7以上，且荣誉课程单科成绩不低于A-。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（3）本科期间所有课程成绩的平均绩点不低于3.3。    
       </w:t>
      </w:r>
      <w:r>
        <w:br/>
      </w:r>
      <w:r>
        <w:rPr>
          <w:rFonts w:ascii="SimSun" w:hAnsi="SimSun"/>
          <w:b w:val="false"/>
          <w:i w:val="false"/>
          <w:color w:val="000000"/>
          <w:sz w:val="21"/>
        </w:rPr>
        <w:t xml:space="preserve">
       </w:t>
      </w:r>
      <w:r>
        <w:br/>
      </w:r>
      <w:r>
        <w:rPr>
          <w:rFonts w:ascii="SimSun" w:hAnsi="SimSun"/>
          <w:b w:val="false"/>
          <w:i w:val="false"/>
          <w:color w:val="000000"/>
          <w:sz w:val="21"/>
        </w:rPr>
        <w:t xml:space="preserve">（4）申请承担“䇹政”“望道”“曦源”“登辉”“卿枫”等校级（含）以上科创项目，并通过结题评审，且结题成绩应为优秀或者良好；或承担药学院本科生学术科技创新项目，且结题成绩应为优秀；或在互联网+、挑战杯以及相关药学学科竞赛中获得全国或省部级二等奖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46"/>
        <w:gridCol w:w="786"/>
        <w:gridCol w:w="786"/>
        <w:gridCol w:w="1101"/>
        <w:gridCol w:w="1997"/>
        <w:gridCol w:w="786"/>
        <w:gridCol w:w="786"/>
        <w:gridCol w:w="786"/>
        <w:gridCol w:w="786"/>
        <w:gridCol w:w="1101"/>
        <w:gridCol w:w="1573"/>
      </w:tblGrid>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药理学(H)</w:t>
            </w:r>
            <w:r>
              <w:br/>
            </w:r>
            <w:r>
              <w:br/>
            </w:r>
            <w:r>
              <w:rPr>
                <w:rFonts w:ascii="SimSun" w:hAnsi="SimSun"/>
                <w:b w:val="false"/>
                <w:i w:val="false"/>
                <w:color w:val="000000"/>
                <w:sz w:val="21"/>
              </w:rPr>
              <w:t>Pharmacology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Advanced biochemistry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PHAR130145h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生物技术药物学(H)</w:t>
            </w:r>
            <w:r>
              <w:br/>
            </w:r>
            <w:r>
              <w:br/>
            </w:r>
            <w:r>
              <w:rPr>
                <w:rFonts w:ascii="SimSun" w:hAnsi="SimSun"/>
                <w:b w:val="false"/>
                <w:i w:val="false"/>
                <w:color w:val="000000"/>
                <w:sz w:val="21"/>
              </w:rPr>
              <w:t>Pharmaceutics Biotechnology ---Fundamentals and Applications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天然药物化学（H）</w:t>
            </w:r>
            <w:r>
              <w:br/>
            </w:r>
            <w:r>
              <w:br/>
            </w:r>
            <w:r>
              <w:rPr>
                <w:rFonts w:ascii="SimSun" w:hAnsi="SimSun"/>
                <w:b w:val="false"/>
                <w:i w:val="false"/>
                <w:color w:val="000000"/>
                <w:sz w:val="21"/>
              </w:rPr>
              <w:t>Natural Products 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生药学(H)</w:t>
            </w:r>
            <w:r>
              <w:br/>
            </w:r>
            <w:r>
              <w:br/>
            </w:r>
            <w:r>
              <w:rPr>
                <w:rFonts w:ascii="SimSun" w:hAnsi="SimSun"/>
                <w:b w:val="false"/>
                <w:i w:val="false"/>
                <w:color w:val="000000"/>
                <w:sz w:val="21"/>
              </w:rPr>
              <w:t>Pharmacognosy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临床药物治疗学(H)</w:t>
            </w:r>
            <w:r>
              <w:br/>
            </w:r>
            <w:r>
              <w:br/>
            </w:r>
            <w:r>
              <w:rPr>
                <w:rFonts w:ascii="SimSun" w:hAnsi="SimSun"/>
                <w:b w:val="false"/>
                <w:i w:val="false"/>
                <w:color w:val="000000"/>
                <w:sz w:val="21"/>
              </w:rPr>
              <w:t>Clinical Pharmacotherapeutics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创新药物研发的理论与实践</w:t>
            </w:r>
            <w:r>
              <w:br/>
            </w:r>
            <w:r>
              <w:br/>
            </w:r>
            <w:r>
              <w:rPr>
                <w:rFonts w:ascii="SimSun" w:hAnsi="SimSun"/>
                <w:b w:val="false"/>
                <w:i w:val="false"/>
                <w:color w:val="000000"/>
                <w:sz w:val="21"/>
              </w:rPr>
              <w:t>Research and development of new drug: From theory to practice</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药物化学(H)</w:t>
            </w:r>
            <w:r>
              <w:br/>
            </w:r>
            <w:r>
              <w:br/>
            </w:r>
            <w:r>
              <w:rPr>
                <w:rFonts w:ascii="SimSun" w:hAnsi="SimSun"/>
                <w:b w:val="false"/>
                <w:i w:val="false"/>
                <w:color w:val="000000"/>
                <w:sz w:val="21"/>
              </w:rPr>
              <w:t>Medicinal Chemistry (H)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分子药剂学(H)</w:t>
            </w:r>
            <w:r>
              <w:br/>
            </w:r>
            <w:r>
              <w:br/>
            </w:r>
            <w:r>
              <w:rPr>
                <w:rFonts w:ascii="SimSun" w:hAnsi="SimSun"/>
                <w:b w:val="false"/>
                <w:i w:val="false"/>
                <w:color w:val="000000"/>
                <w:sz w:val="21"/>
              </w:rPr>
              <w:t>Molecular Pharmaceutics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药物分析(H)</w:t>
            </w:r>
            <w:r>
              <w:br/>
            </w:r>
            <w:r>
              <w:br/>
            </w:r>
            <w:r>
              <w:rPr>
                <w:rFonts w:ascii="SimSun" w:hAnsi="SimSun"/>
                <w:b w:val="false"/>
                <w:i w:val="false"/>
                <w:color w:val="000000"/>
                <w:sz w:val="21"/>
              </w:rPr>
              <w:t>Pharmaceutical Analysis</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PHAR30045h</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修满32学分。要求修读2个非本专业独立开设的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满32学分。要求修读2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满32学分。要求修读1个专业进阶模块和1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选择人工智能药学学程的学生除外）。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(4)修满32学分。要求修读1个专业进阶模块和1个专业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注意：学程课程详见教务处学程项目网页，下载地址：http://www.fdcollege.fudan.edu.cn/（复旦大学本科教学信息网）资料下载-培养与质量-培养方案-学程项目。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专业进阶模块和1个创新创业学程，修读学分不足部分可在全校所有本科生课程中任意选修。创新创业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12学分）和1个外院系开设的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毕业时将获得药学（跨学科）毕业证书、学士学位证书及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本科期间需要承担至少1项院级及以上科创项目（含药育新才、复芏计划、曦源、望道、莙政、卿枫、药苑论坛、挑战杯、互联网+大学生创新创业大赛等）。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