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2025生态学-生态学本博融通培养方案（英才班适用）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本融通方案为生态学本博融通（生态学本科-生态学博士）培养方案。</w:t>
      </w:r>
      <w:r>
        <w:br/>
      </w:r>
      <w:r>
        <w:br/>
      </w:r>
      <w:r>
        <w:rPr>
          <w:rFonts w:ascii="SimSun" w:hAnsi="SimSun"/>
          <w:b w:val="false"/>
          <w:i w:val="false"/>
          <w:color w:val="000000"/>
          <w:sz w:val="21"/>
        </w:rPr>
        <w:t xml:space="preserve">    生态学（Ecology）是一门研究生物与其环境之间相互作用关系的科学，其核心在于揭示生命系统与物理环境、生物群落之间的动态平衡机制。生态学研究涵盖多个尺度，包括个体、种群、群落、生态系统、全球变化等多层次、多尺度的学科交叉，以应对生态系统健康、生物多样性保护、人与自然和谐共生面临的重大问题和挑战。</w:t>
      </w:r>
      <w:r>
        <w:br/>
      </w:r>
      <w:r>
        <w:br/>
      </w:r>
      <w:r>
        <w:rPr>
          <w:rFonts w:ascii="SimSun" w:hAnsi="SimSun"/>
          <w:b w:val="false"/>
          <w:i w:val="false"/>
          <w:color w:val="000000"/>
          <w:sz w:val="21"/>
        </w:rPr>
        <w:t xml:space="preserve">    复旦大学生态学科建制在生命科学学院，学院由中国遗传学奠基人谈家桢院士创立于1986年，作为国内首家生命科学学院，其渊源可追溯至1926年成立的生物系（含原二级学科生态学）。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 项，第三届全国高校教师教学创新大赛基础课程正高组一等奖1项。生物科学国家级实验教学示范中心获“全国五一巾帼标兵岗”和“全国巾帼文明岗”。国家自然科学奖二等奖、全国创新争先奖等。学院拥有五个国家级平台，分别是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四个省部级平台，是国内顶尖、国际一流的生物学人才培养和科研高地。2025泰晤士高等教育生命科学学科排名全球39名（国内第三），25年QS生物科学学科排名全球46（国内第三）。</w:t>
      </w:r>
      <w:r>
        <w:br/>
      </w:r>
      <w:r>
        <w:br/>
      </w:r>
      <w:r>
        <w:rPr>
          <w:rFonts w:ascii="SimSun" w:hAnsi="SimSun"/>
          <w:b w:val="false"/>
          <w:i w:val="false"/>
          <w:color w:val="000000"/>
          <w:sz w:val="21"/>
        </w:rPr>
        <w:t xml:space="preserve">    生态学2011年成为一级学科，复旦生态学为“双一流”国家重点建设学科，教育部A级学科，进入ESI全球前0.1%排行榜，软科中国最好专业排名专业第2。拥有7名国家级人才、19名博士生导师和25名硕士生导师，均正承担/承担过国家级项目或省部级重大、重点科技项目，大部分导师有与企业合作开展研发工作的经历。建设有《生物学野外实习》《自然地理学》《科学究方法与论文写作》等多门国家级一流本科课程。获教育部和国家自然科学基金委批准为“全国研究生暑期学校”的生态学暑期高级讲习班，已成功举办二十届，被列为“上海市研究生暑期学校”，并获“上海市教学成果一等奖”。</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干细胞式面向未来的创新型生态学领军人才。学生应植根于生态科学的创新发展前沿，以科技创新、社会可持续发展和国家生态文明建设的基本需要作为导向，提供深入的师生交流条件，营造教学和科研并重的创新型学习环境，提供活跃的学术交流机会。要求学生系统学习生态学和其他自然科学基本理论，具备杰出的科学素养和扎实的实践能力，具备批判性思维和创新性思维，培养学生坚实宽广的理论基础和系统深入的专业知识，引导学生成为能够独立从事科学研究工作、并且将科学创新和生物多样性保护、农业、林业、环保等行业的需求相结合的复合型人才，成为具有国际视野的高层次研究型人才和未来领导者。</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博资考前进行学业审核；
面试内容：学科基础和前沿知识掌握情况，已从事的科研活动及取得的科研成果介绍，以及下一步的科研计划。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2025"生态学专业"培养方案 （2025级本科生适用）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面试内容：荣誉课程学习情况、综合评价（竞赛、比赛、科研实践情况及科学志趣等内容）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141</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047067" cy="145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4562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
        1、专业进阶路径：165学分
       </w:t>
      </w:r>
    </w:p>
    <w:p>
      <w:pPr>
        <w:spacing w:after="0"/>
        <w:ind w:left="0"/>
        <w:jc w:val="left"/>
      </w:pPr>
      <w:r>
        <w:rPr>
          <w:rFonts w:ascii="SimSun" w:hAnsi="SimSun"/>
          <w:b w:val="false"/>
          <w:i w:val="false"/>
          <w:color w:val="000000"/>
          <w:sz w:val="21"/>
        </w:rPr>
        <w:t xml:space="preserve">
             本路径学生本博期间必须修满教学计划规定的165学分，包括通识教育课程44学分、专业培养课程52学分、专业进阶I修读15学分、本博融通课程修读20学分（研究生课程不少于11学分）、融合创新能力培养模块34学分的修读。
       </w:t>
      </w:r>
    </w:p>
    <w:p>
      <w:pPr>
        <w:spacing w:after="0"/>
        <w:ind w:left="0"/>
        <w:jc w:val="left"/>
      </w:pPr>
      <w:r>
        <w:rPr>
          <w:rFonts w:ascii="SimSun" w:hAnsi="SimSun"/>
          <w:b w:val="false"/>
          <w:i w:val="false"/>
          <w:color w:val="000000"/>
          <w:sz w:val="21"/>
        </w:rPr>
        <w:t xml:space="preserve">
              其中，本科学段需要完成141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52学分、专业进阶模块修读17学分、融合创新能力培养30学分。
       </w:t>
      </w:r>
    </w:p>
    <w:p>
      <w:pPr>
        <w:spacing w:after="0"/>
        <w:ind w:left="0"/>
        <w:jc w:val="left"/>
      </w:pPr>
    </w:p>
    <w:p>
      <w:pPr>
        <w:spacing w:after="0"/>
        <w:ind w:left="0"/>
        <w:jc w:val="left"/>
      </w:pPr>
      <w:r>
        <w:rPr>
          <w:rFonts w:ascii="SimSun" w:hAnsi="SimSun"/>
          <w:b w:val="false"/>
          <w:i w:val="false"/>
          <w:color w:val="000000"/>
          <w:sz w:val="21"/>
        </w:rPr>
        <w:t xml:space="preserve">
        2、本科荣誉项目，暂无，在校师生比小于1，采取小而精办学，对每个学生均按照荣誉学生实践要求培养。
       </w:t>
      </w:r>
    </w:p>
    <w:p>
      <w:pPr>
        <w:spacing w:after="0"/>
        <w:ind w:left="0"/>
        <w:jc w:val="left"/>
      </w:pPr>
    </w:p>
    <w:p>
      <w:pPr>
        <w:spacing w:after="0"/>
        <w:ind w:left="0"/>
        <w:jc w:val="left"/>
      </w:pPr>
      <w:r>
        <w:rPr>
          <w:rFonts w:ascii="SimSun" w:hAnsi="SimSun"/>
          <w:b w:val="false"/>
          <w:i w:val="false"/>
          <w:color w:val="000000"/>
          <w:sz w:val="21"/>
        </w:rPr>
        <w:t xml:space="preserve">
        3、 跨学科发展路径：180学分
       </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在专业进阶路径或荣誉项目基础上，修读1个非本专业独立开设的学程15学分（可在研究生学段修读），具体要求见教务处学程实施方案。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
       </w:t>
      </w:r>
    </w:p>
    <w:p>
      <w:pPr>
        <w:spacing w:after="0"/>
        <w:ind w:left="0"/>
        <w:jc w:val="left"/>
      </w:pPr>
    </w:p>
    <w:p>
      <w:pPr>
        <w:spacing w:after="0"/>
        <w:ind w:left="0"/>
        <w:jc w:val="left"/>
      </w:pPr>
      <w:r>
        <w:rPr>
          <w:rFonts w:ascii="SimSun" w:hAnsi="SimSun"/>
          <w:b w:val="false"/>
          <w:i w:val="false"/>
          <w:color w:val="000000"/>
          <w:sz w:val="21"/>
        </w:rPr>
        <w:t xml:space="preserve">
        1. 4年级结束时，如达到学士学位要求者授予理学学士学位。  
       </w:t>
      </w:r>
    </w:p>
    <w:p>
      <w:pPr>
        <w:spacing w:after="0"/>
        <w:ind w:left="0"/>
        <w:jc w:val="left"/>
      </w:pPr>
      <w:r>
        <w:rPr>
          <w:rFonts w:ascii="SimSun" w:hAnsi="SimSun"/>
          <w:b w:val="false"/>
          <w:i w:val="false"/>
          <w:color w:val="000000"/>
          <w:sz w:val="21"/>
        </w:rPr>
        <w:t xml:space="preserve">
        （1）本专业学生毕业时须满足通识教育课程（含通识教育核心课程和专项教育课程）42学分、专业培养课程52学分，融合创新能力培养模块课程30分（含本科毕业论文2分）和多元发展路径课程的修读要求，总学分不低于141学分（含实践学分不低于35.5学分，含美育学分不少于2学分，其中至少在“美学和艺术史论类”或“艺术鉴赏和评论类”课程中修读1学分，并至少参与一项艺术实践活动、劳动教育不少于32学时，并满足劳动周教育要求），达到学位要求者授予理学学士学位。
       </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2. 本科学段主动退出和转段考核不合格退出本博融通计划的学生，需按照生态学本科培养方案修读课程，如达到学士学位要求者授予理学学士学位。
       </w:t>
      </w:r>
    </w:p>
    <w:p>
      <w:pPr>
        <w:spacing w:after="0"/>
        <w:ind w:left="0"/>
        <w:jc w:val="left"/>
      </w:pPr>
    </w:p>
    <w:p>
      <w:pPr>
        <w:spacing w:after="0"/>
        <w:ind w:left="0"/>
        <w:jc w:val="left"/>
      </w:pPr>
      <w:r>
        <w:rPr>
          <w:rFonts w:ascii="SimSun" w:hAnsi="SimSun"/>
          <w:b w:val="false"/>
          <w:i w:val="false"/>
          <w:color w:val="000000"/>
          <w:sz w:val="21"/>
        </w:rPr>
        <w:t xml:space="preserve">
        （二）研究生学位
       </w:t>
      </w:r>
    </w:p>
    <w:p>
      <w:pPr>
        <w:spacing w:after="0"/>
        <w:ind w:left="0"/>
        <w:jc w:val="left"/>
      </w:pPr>
      <w:r>
        <w:rPr>
          <w:rFonts w:ascii="SimSun" w:hAnsi="SimSun"/>
          <w:b w:val="false"/>
          <w:i w:val="false"/>
          <w:color w:val="000000"/>
          <w:sz w:val="21"/>
        </w:rPr>
        <w:t xml:space="preserve">
        1、达研究生学段主动退出和博士生资格考核不合格退出本博融通计划的学生，需按照生态学硕士培养方案修读课程。各门课程成绩合格且学位课程绩点达到2.5以上，学术成果达到复旦大学生物学学位评定分委员会有关规定，方可申请硕士学位。学位审核各环节按《复旦大学学位授予工作细则》执行，同时应符合《复旦大学研究生课程和教学管理规定》等相关规定的要求。达到硕士学位要求者授予理学硕士学位。
       </w:t>
      </w:r>
    </w:p>
    <w:p>
      <w:pPr>
        <w:spacing w:after="0"/>
        <w:ind w:left="0"/>
        <w:jc w:val="left"/>
      </w:pPr>
      <w:r>
        <w:rPr>
          <w:rFonts w:ascii="SimSun" w:hAnsi="SimSun"/>
          <w:b w:val="false"/>
          <w:i w:val="false"/>
          <w:color w:val="000000"/>
          <w:sz w:val="21"/>
        </w:rPr>
        <w:t xml:space="preserve">
        2、学位申请者提出博士学位论文答辩申请时，必须已修满本项目规定学分，各门课程成绩合格且学位课程绩点达到2.5以上，学术成果达到复旦大学生物学学位评定分委员会有关规定，方可申请相应博士学位。学位审核各环节按《复旦大学学位授予工作细则》执行，同时应符合《复旦大学研究生课程和教学管理规定》、《复旦大学博士研究生培养分流退出实施办法》等相关规定的要求。达到博士学位要求者授予理学博士学位。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1.课程体系
       </w:t>
      </w:r>
    </w:p>
    <w:p>
      <w:pPr>
        <w:spacing w:after="0"/>
        <w:ind w:left="0"/>
        <w:jc w:val="left"/>
      </w:pPr>
    </w:p>
    <w:p>
      <w:pPr>
        <w:spacing w:after="0"/>
        <w:ind w:left="0"/>
        <w:jc w:val="left"/>
      </w:pPr>
      <w:r>
        <w:rPr>
          <w:rFonts w:ascii="SimSun" w:hAnsi="SimSun"/>
          <w:b w:val="false"/>
          <w:i w:val="false"/>
          <w:color w:val="000000"/>
          <w:sz w:val="21"/>
        </w:rPr>
        <w:t xml:space="preserve">
            生态学学科整体课程安排遵循由理论基础深入到专业知识，兼顾科学素养培养和实践能力训练，结合宏观和微观，强调学科前沿进展的思路。在各个研究方向上安排本科生基础课程和前沿课程，营造教学和科研并重的创新型学习环境。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9"/>
        <w:gridCol w:w="809"/>
        <w:gridCol w:w="658"/>
        <w:gridCol w:w="632"/>
        <w:gridCol w:w="1670"/>
        <w:gridCol w:w="961"/>
        <w:gridCol w:w="810"/>
        <w:gridCol w:w="835"/>
        <w:gridCol w:w="734"/>
        <w:gridCol w:w="886"/>
        <w:gridCol w:w="2660"/>
      </w:tblGrid>
      <w:tr>
        <w:trPr>
          <w:trHeight w:val="240" w:hRule="atLeast"/>
        </w:trPr>
        <w:tc>
          <w:tcPr>
            <w:tcW w:w="297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课程代码字母部分为AI的课程为AI大课。</w:t>
            </w:r>
          </w:p>
        </w:tc>
      </w:tr>
      <w:tr>
        <w:trPr>
          <w:trHeight w:val="240"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720"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研究生阶段强化科研训练、科学道德和学术规范教育，激励学生自主开展学术研究。多渠道支持学生参加国内国际高水平学术交流，鼓励学生参加国内外高水平创新竞赛，以赛促教、促学、促研。
       </w:t>
      </w:r>
    </w:p>
    <w:p>
      <w:pPr>
        <w:spacing w:after="0"/>
        <w:ind w:left="0"/>
        <w:jc w:val="left"/>
      </w:pPr>
      <w:r>
        <w:rPr>
          <w:rFonts w:ascii="SimSun" w:hAnsi="SimSun"/>
          <w:b w:val="false"/>
          <w:i w:val="false"/>
          <w:color w:val="000000"/>
          <w:sz w:val="21"/>
        </w:rPr>
        <w:t xml:space="preserve">
        </w:t>
      </w:r>
      <w:r>
        <w:drawing>
          <wp:inline distT="0" distB="0" distL="0" distR="0">
            <wp:extent cx="2523067"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23067" cy="1693333"/>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21学分（其中研究生学位课2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（52学分,本科要求52学分）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（25学分,本科要求25学分）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动物生物学</w:t>
            </w:r>
            <w:r>
              <w:br/>
            </w:r>
            <w:r>
              <w:br/>
            </w:r>
            <w:r>
              <w:rPr>
                <w:rFonts w:ascii="SimSun" w:hAnsi="SimSun"/>
                <w:b w:val="false"/>
                <w:i w:val="false"/>
                <w:color w:val="000000"/>
                <w:sz w:val="21"/>
              </w:rPr>
              <w:t>Animal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植物生物学</w:t>
            </w:r>
            <w:r>
              <w:br/>
            </w:r>
            <w:r>
              <w:br/>
            </w:r>
            <w:r>
              <w:rPr>
                <w:rFonts w:ascii="SimSun" w:hAnsi="SimSun"/>
                <w:b w:val="false"/>
                <w:i w:val="false"/>
                <w:color w:val="000000"/>
                <w:sz w:val="21"/>
              </w:rPr>
              <w:t>Plant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生物化学B</w:t>
            </w:r>
            <w:r>
              <w:br/>
            </w:r>
            <w:r>
              <w:br/>
            </w:r>
            <w:r>
              <w:rPr>
                <w:rFonts w:ascii="SimSun" w:hAnsi="SimSun"/>
                <w:b w:val="false"/>
                <w:i w:val="false"/>
                <w:color w:val="000000"/>
                <w:sz w:val="21"/>
              </w:rPr>
              <w:t>Biochemistry 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种群生态学</w:t>
            </w:r>
            <w:r>
              <w:br/>
            </w:r>
            <w:r>
              <w:br/>
            </w:r>
            <w:r>
              <w:rPr>
                <w:rFonts w:ascii="SimSun" w:hAnsi="SimSun"/>
                <w:b w:val="false"/>
                <w:i w:val="false"/>
                <w:color w:val="000000"/>
                <w:sz w:val="21"/>
              </w:rPr>
              <w:t>Population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群落生态学</w:t>
            </w:r>
            <w:r>
              <w:br/>
            </w:r>
            <w:r>
              <w:br/>
            </w:r>
            <w:r>
              <w:rPr>
                <w:rFonts w:ascii="SimSun" w:hAnsi="SimSun"/>
                <w:b w:val="false"/>
                <w:i w:val="false"/>
                <w:color w:val="000000"/>
                <w:sz w:val="21"/>
              </w:rPr>
              <w:t>Community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生态系统生态学</w:t>
            </w:r>
            <w:r>
              <w:br/>
            </w:r>
            <w:r>
              <w:br/>
            </w:r>
            <w:r>
              <w:rPr>
                <w:rFonts w:ascii="SimSun" w:hAnsi="SimSun"/>
                <w:b w:val="false"/>
                <w:i w:val="false"/>
                <w:color w:val="000000"/>
                <w:sz w:val="21"/>
              </w:rPr>
              <w:t>Ecosystem Ecology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ECOL30010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本路径需要修读：专业进阶I修读15学分、专业进阶II（本博融通进阶）修读20学分（其中研究生课程不少于11学分）。本科学段专业进阶路径需要修读17学分。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 I</w:t>
      </w:r>
      <w:r>
        <w:rPr>
          <w:rFonts w:ascii="SimSun" w:hAnsi="SimSun"/>
          <w:b/>
          <w:i w:val="false"/>
          <w:color w:val="000000"/>
          <w:sz w:val="21"/>
        </w:rPr>
        <w:t>（15学分,本科要求11学分）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（1）应至少修3门*标课程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（2）科研素养模块课程必修
       </w:t>
      </w:r>
      <w:r>
        <w:br/>
      </w:r>
      <w:r>
        <w:rPr>
          <w:rFonts w:ascii="SimSun" w:hAnsi="SimSun"/>
          <w:b w:val="false"/>
          <w:i w:val="false"/>
          <w:color w:val="000000"/>
          <w:sz w:val="21"/>
        </w:rPr>
        <w:t xml:space="preserve">
       </w:t>
      </w:r>
      <w:r>
        <w:br/>
      </w:r>
      <w:r>
        <w:rPr>
          <w:rFonts w:ascii="SimSun" w:hAnsi="SimSun"/>
          <w:b w:val="false"/>
          <w:i w:val="false"/>
          <w:color w:val="000000"/>
          <w:sz w:val="21"/>
        </w:rPr>
        <w:t xml:space="preserve">（3）生物计算2选1课程必选1门，可2门都选，并计为2门*标课程。
      </w:t>
      </w:r>
    </w:p>
    <w:tbl>
      <w:tblPr>
        <w:tblW w:w="0" w:type="auto"/>
        <w:tblCellSpacing w:w="0" w:type="auto"/>
        <w:tblBorders>
          <w:top w:val="none"/>
          <w:left w:val="none"/>
          <w:bottom w:val="none"/>
          <w:right w:val="none"/>
          <w:insideH w:val="none"/>
          <w:insideV w:val="none"/>
        </w:tblBorders>
      </w:tblPr>
      <w:tblGrid>
        <w:gridCol w:w="2047"/>
        <w:gridCol w:w="2728"/>
        <w:gridCol w:w="681"/>
        <w:gridCol w:w="681"/>
        <w:gridCol w:w="955"/>
        <w:gridCol w:w="1493"/>
        <w:gridCol w:w="682"/>
        <w:gridCol w:w="682"/>
        <w:gridCol w:w="682"/>
        <w:gridCol w:w="682"/>
        <w:gridCol w:w="955"/>
        <w:gridCol w:w="1366"/>
      </w:tblGrid>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行为生态学</w:t>
            </w:r>
            <w:r>
              <w:br/>
            </w:r>
            <w:r>
              <w:br/>
            </w:r>
            <w:r>
              <w:rPr>
                <w:rFonts w:ascii="SimSun" w:hAnsi="SimSun"/>
                <w:b w:val="false"/>
                <w:i w:val="false"/>
                <w:color w:val="000000"/>
                <w:sz w:val="21"/>
              </w:rPr>
              <w:t>Behavioral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土壤生态学</w:t>
            </w:r>
            <w:r>
              <w:br/>
            </w:r>
            <w:r>
              <w:br/>
            </w:r>
            <w:r>
              <w:rPr>
                <w:rFonts w:ascii="SimSun" w:hAnsi="SimSun"/>
                <w:b w:val="false"/>
                <w:i w:val="false"/>
                <w:color w:val="000000"/>
                <w:sz w:val="21"/>
              </w:rPr>
              <w:t>Soil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化学生态学</w:t>
            </w:r>
            <w:r>
              <w:br/>
            </w:r>
            <w:r>
              <w:br/>
            </w:r>
            <w:r>
              <w:rPr>
                <w:rFonts w:ascii="SimSun" w:hAnsi="SimSun"/>
                <w:b w:val="false"/>
                <w:i w:val="false"/>
                <w:color w:val="000000"/>
                <w:sz w:val="21"/>
              </w:rPr>
              <w:t>Chemcial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生态系统生态学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自然地理学</w:t>
            </w:r>
            <w:r>
              <w:br/>
            </w:r>
            <w:r>
              <w:br/>
            </w:r>
            <w:r>
              <w:rPr>
                <w:rFonts w:ascii="SimSun" w:hAnsi="SimSun"/>
                <w:b w:val="false"/>
                <w:i w:val="false"/>
                <w:color w:val="000000"/>
                <w:sz w:val="21"/>
              </w:rPr>
              <w:t>Physical Geography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生物地理学</w:t>
            </w:r>
            <w:r>
              <w:br/>
            </w:r>
            <w:r>
              <w:br/>
            </w:r>
            <w:r>
              <w:rPr>
                <w:rFonts w:ascii="SimSun" w:hAnsi="SimSun"/>
                <w:b w:val="false"/>
                <w:i w:val="false"/>
                <w:color w:val="000000"/>
                <w:sz w:val="21"/>
              </w:rPr>
              <w:t>Biological Geography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全球变化生物学</w:t>
            </w:r>
            <w:r>
              <w:br/>
            </w:r>
            <w:r>
              <w:br/>
            </w:r>
            <w:r>
              <w:rPr>
                <w:rFonts w:ascii="SimSun" w:hAnsi="SimSun"/>
                <w:b w:val="false"/>
                <w:i w:val="false"/>
                <w:color w:val="000000"/>
                <w:sz w:val="21"/>
              </w:rPr>
              <w:t>Global Change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湿地生态学</w:t>
            </w:r>
            <w:r>
              <w:br/>
            </w:r>
            <w:r>
              <w:br/>
            </w:r>
            <w:r>
              <w:rPr>
                <w:rFonts w:ascii="SimSun" w:hAnsi="SimSun"/>
                <w:b w:val="false"/>
                <w:i w:val="false"/>
                <w:color w:val="000000"/>
                <w:sz w:val="21"/>
              </w:rPr>
              <w:t>Wetland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全球变化生态学</w:t>
            </w:r>
            <w:r>
              <w:br/>
            </w:r>
            <w:r>
              <w:br/>
            </w:r>
            <w:r>
              <w:rPr>
                <w:rFonts w:ascii="SimSun" w:hAnsi="SimSun"/>
                <w:b w:val="false"/>
                <w:i w:val="false"/>
                <w:color w:val="000000"/>
                <w:sz w:val="21"/>
              </w:rPr>
              <w:t>Global Change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r>
              <w:br/>
            </w:r>
            <w:r>
              <w:br/>
            </w:r>
            <w:r>
              <w:rPr>
                <w:rFonts w:ascii="SimSun" w:hAnsi="SimSun"/>
                <w:b w:val="false"/>
                <w:i w:val="false"/>
                <w:color w:val="000000"/>
                <w:sz w:val="21"/>
              </w:rPr>
              <w:t>Landscape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生态遥感</w:t>
            </w:r>
            <w:r>
              <w:br/>
            </w:r>
            <w:r>
              <w:br/>
            </w:r>
            <w:r>
              <w:rPr>
                <w:rFonts w:ascii="SimSun" w:hAnsi="SimSun"/>
                <w:b w:val="false"/>
                <w:i w:val="false"/>
                <w:color w:val="000000"/>
                <w:sz w:val="21"/>
              </w:rPr>
              <w:t>Remote Sensing of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修复和可持续生态学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生物安全导论</w:t>
            </w:r>
            <w:r>
              <w:br/>
            </w:r>
            <w:r>
              <w:br/>
            </w:r>
            <w:r>
              <w:rPr>
                <w:rFonts w:ascii="SimSun" w:hAnsi="SimSun"/>
                <w:b w:val="false"/>
                <w:i w:val="false"/>
                <w:color w:val="000000"/>
                <w:sz w:val="21"/>
              </w:rPr>
              <w:t>Introduction to Biosafety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入侵生态学</w:t>
            </w:r>
            <w:r>
              <w:br/>
            </w:r>
            <w:r>
              <w:br/>
            </w:r>
            <w:r>
              <w:rPr>
                <w:rFonts w:ascii="SimSun" w:hAnsi="SimSun"/>
                <w:b w:val="false"/>
                <w:i w:val="false"/>
                <w:color w:val="000000"/>
                <w:sz w:val="21"/>
              </w:rPr>
              <w:t>Invasion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进化与分子生态学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物种起源导论</w:t>
            </w:r>
            <w:r>
              <w:br/>
            </w:r>
            <w:r>
              <w:br/>
            </w:r>
            <w:r>
              <w:rPr>
                <w:rFonts w:ascii="SimSun" w:hAnsi="SimSun"/>
                <w:b w:val="false"/>
                <w:i w:val="false"/>
                <w:color w:val="000000"/>
                <w:sz w:val="21"/>
              </w:rPr>
              <w:t>Introduction to The Origin of Species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*星标课组</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2选1课程必选1门，可2门都选，并计为2门*标课程。 </w:t>
            </w: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2选1课程必选1门，可2门都选，并计为2门*标课程。 </w:t>
            </w: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分子生态学</w:t>
            </w:r>
            <w:r>
              <w:br/>
            </w:r>
            <w:r>
              <w:br/>
            </w:r>
            <w:r>
              <w:rPr>
                <w:rFonts w:ascii="SimSun" w:hAnsi="SimSun"/>
                <w:b w:val="false"/>
                <w:i w:val="false"/>
                <w:color w:val="000000"/>
                <w:sz w:val="21"/>
              </w:rPr>
              <w:t>Molecular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生态与社会</w:t>
            </w:r>
            <w:r>
              <w:br/>
            </w:r>
            <w:r>
              <w:br/>
            </w:r>
            <w:r>
              <w:rPr>
                <w:rFonts w:ascii="SimSun" w:hAnsi="SimSun"/>
                <w:b w:val="false"/>
                <w:i w:val="false"/>
                <w:color w:val="000000"/>
                <w:sz w:val="21"/>
              </w:rPr>
              <w:t>Ecology and Society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保护生物学</w:t>
            </w:r>
            <w:r>
              <w:br/>
            </w:r>
            <w:r>
              <w:br/>
            </w:r>
            <w:r>
              <w:rPr>
                <w:rFonts w:ascii="SimSun" w:hAnsi="SimSun"/>
                <w:b w:val="false"/>
                <w:i w:val="false"/>
                <w:color w:val="000000"/>
                <w:sz w:val="21"/>
              </w:rPr>
              <w:t>Conservation Biology</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ECOL50013</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II（本博融通进阶）</w:t>
      </w:r>
      <w:r>
        <w:rPr>
          <w:rFonts w:ascii="SimSun" w:hAnsi="SimSun"/>
          <w:b/>
          <w:i w:val="false"/>
          <w:color w:val="000000"/>
          <w:sz w:val="21"/>
        </w:rPr>
        <w:t>（20学分,本科要求6学分）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本模块课程中《生物入侵与全球变化》为本方案所有学生必修，具体课程设置如下：
      </w:t>
      </w:r>
    </w:p>
    <w:tbl>
      <w:tblPr>
        <w:tblW w:w="0" w:type="auto"/>
        <w:tblCellSpacing w:w="0" w:type="auto"/>
        <w:tblBorders>
          <w:top w:val="none"/>
          <w:left w:val="none"/>
          <w:bottom w:val="none"/>
          <w:right w:val="none"/>
          <w:insideH w:val="none"/>
          <w:insideV w:val="none"/>
        </w:tblBorders>
      </w:tblPr>
      <w:tblGrid>
        <w:gridCol w:w="2047"/>
        <w:gridCol w:w="2728"/>
        <w:gridCol w:w="681"/>
        <w:gridCol w:w="681"/>
        <w:gridCol w:w="955"/>
        <w:gridCol w:w="1493"/>
        <w:gridCol w:w="682"/>
        <w:gridCol w:w="682"/>
        <w:gridCol w:w="682"/>
        <w:gridCol w:w="682"/>
        <w:gridCol w:w="955"/>
        <w:gridCol w:w="1366"/>
      </w:tblGrid>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生物入侵与全球变化</w:t>
            </w:r>
            <w:r>
              <w:br/>
            </w:r>
            <w:r>
              <w:br/>
            </w:r>
            <w:r>
              <w:rPr>
                <w:rFonts w:ascii="SimSun" w:hAnsi="SimSun"/>
                <w:b w:val="false"/>
                <w:i w:val="false"/>
                <w:color w:val="000000"/>
                <w:sz w:val="21"/>
              </w:rPr>
              <w:t>Biological Invasion and Global Change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ECOL60003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生态学前沿进展</w:t>
            </w:r>
            <w:r>
              <w:br/>
            </w:r>
            <w:r>
              <w:br/>
            </w:r>
            <w:r>
              <w:rPr>
                <w:rFonts w:ascii="SimSun" w:hAnsi="SimSun"/>
                <w:b w:val="false"/>
                <w:i w:val="false"/>
                <w:color w:val="000000"/>
                <w:sz w:val="21"/>
              </w:rPr>
              <w:t>Frontiers in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ECOL60004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艺术、科学研究与创新思维</w:t>
            </w:r>
            <w:r>
              <w:br/>
            </w:r>
            <w:r>
              <w:br/>
            </w:r>
            <w:r>
              <w:rPr>
                <w:rFonts w:ascii="SimSun" w:hAnsi="SimSun"/>
                <w:b w:val="false"/>
                <w:i w:val="false"/>
                <w:color w:val="000000"/>
                <w:sz w:val="21"/>
              </w:rPr>
              <w:t>Art, Scientific Research and Creative Thinking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鸟类生态学</w:t>
            </w:r>
            <w:r>
              <w:br/>
            </w:r>
            <w:r>
              <w:br/>
            </w:r>
            <w:r>
              <w:rPr>
                <w:rFonts w:ascii="SimSun" w:hAnsi="SimSun"/>
                <w:b w:val="false"/>
                <w:i w:val="false"/>
                <w:color w:val="000000"/>
                <w:sz w:val="21"/>
              </w:rPr>
              <w:t>Avian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Molecular Microbial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BIOL70023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生态系统生态学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修复和可持续生态学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环境水文学基础</w:t>
            </w:r>
            <w:r>
              <w:br/>
            </w:r>
            <w:r>
              <w:br/>
            </w:r>
            <w:r>
              <w:rPr>
                <w:rFonts w:ascii="SimSun" w:hAnsi="SimSun"/>
                <w:b w:val="false"/>
                <w:i w:val="false"/>
                <w:color w:val="000000"/>
                <w:sz w:val="21"/>
              </w:rPr>
              <w:t>Introduction to Environmental Hydrology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生态经济学</w:t>
            </w:r>
            <w:r>
              <w:br/>
            </w:r>
            <w:r>
              <w:br/>
            </w:r>
            <w:r>
              <w:rPr>
                <w:rFonts w:ascii="SimSun" w:hAnsi="SimSun"/>
                <w:b w:val="false"/>
                <w:i w:val="false"/>
                <w:color w:val="000000"/>
                <w:sz w:val="21"/>
              </w:rPr>
              <w:t>Ecological Economics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自然资源和环境保护法</w:t>
            </w:r>
            <w:r>
              <w:br/>
            </w:r>
            <w:r>
              <w:br/>
            </w:r>
            <w:r>
              <w:rPr>
                <w:rFonts w:ascii="SimSun" w:hAnsi="SimSun"/>
                <w:b w:val="false"/>
                <w:i w:val="false"/>
                <w:color w:val="000000"/>
                <w:sz w:val="21"/>
              </w:rPr>
              <w:t>Law of Natural Resources and Environment Protection</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进化与分子生态学</w:t>
            </w:r>
            <w:r>
              <w:br/>
            </w:r>
            <w:r>
              <w:br/>
            </w:r>
            <w:r>
              <w:rPr>
                <w:rFonts w:ascii="SimSun" w:hAnsi="SimSun"/>
                <w:b w:val="false"/>
                <w:i w:val="false"/>
                <w:color w:val="000000"/>
                <w:sz w:val="21"/>
              </w:rPr>
              <w:t>X Group</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分子标记技术</w:t>
            </w:r>
            <w:r>
              <w:br/>
            </w:r>
            <w:r>
              <w:br/>
            </w:r>
            <w:r>
              <w:rPr>
                <w:rFonts w:ascii="SimSun" w:hAnsi="SimSun"/>
                <w:b w:val="false"/>
                <w:i w:val="false"/>
                <w:color w:val="000000"/>
                <w:sz w:val="21"/>
              </w:rPr>
              <w:t>Techniques of Molecular Marks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w:t>
            </w:r>
            <w:r>
              <w:br/>
            </w:r>
            <w:r>
              <w:br/>
            </w:r>
            <w:r>
              <w:rPr>
                <w:rFonts w:ascii="SimSun" w:hAnsi="SimSun"/>
                <w:b w:val="false"/>
                <w:i w:val="false"/>
                <w:color w:val="000000"/>
                <w:sz w:val="21"/>
              </w:rPr>
              <w:t>X Group</w:t>
            </w:r>
          </w:p>
        </w:tc>
        <w:tc>
          <w:tcPr>
            <w:tcW w:w="2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6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注：进阶课程开课学期仅供参考，可能因客观原因调整。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上述方案之外可修读1个非本专业独立开设的学程(微专业），学程(微专业）课程详见教务处学程(微专业）项目网页，下载地址：https://jwc.fudan.edu.cn/（复旦大学教务处）专业培养-常用文档。完成学程(微专业）修读要求的学生可获得相应的学程(微专业）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（1）本方案中的学生必修《生物科学研究设计与实践（中）——实验设计与数据分析（H）》和《系统科研训练III》，曦源计划入选学生单独编班，Dream Lab/云帆计划入选学生单独编班，其余学生只有有课题后方可申请编入某一班级，班级数量视申请人数而定。										
       </w:t>
      </w:r>
      <w:r>
        <w:br/>
      </w:r>
      <w:r>
        <w:rPr>
          <w:rFonts w:ascii="SimSun" w:hAnsi="SimSun"/>
          <w:b w:val="false"/>
          <w:i w:val="false"/>
          <w:color w:val="000000"/>
          <w:sz w:val="21"/>
        </w:rPr>
        <w:t xml:space="preserve">
       </w:t>
      </w:r>
      <w:r>
        <w:br/>
      </w:r>
      <w:r>
        <w:rPr>
          <w:rFonts w:ascii="SimSun" w:hAnsi="SimSun"/>
          <w:b w:val="false"/>
          <w:i w:val="false"/>
          <w:color w:val="000000"/>
          <w:sz w:val="21"/>
        </w:rPr>
        <w:t xml:space="preserve">（2）《生物科学研究设计与实践（下）——成果总结和展示（H）》（本科生荣誉课程，即研究生《科研之道》课程）和《科学研究方法与论文写作》（本科生全英语课程）两门有较多重叠内容，选课如果选了两门，只计一门，另一门进入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（3）《本科毕业论文》课程即为转段成功的本计划学生的本科毕业论文课程，在第八学期修读课程，可用复芏/Dream Lab/云帆计划成果为论文主要内容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动物学实验</w:t>
            </w:r>
            <w:r>
              <w:br/>
            </w:r>
            <w:r>
              <w:br/>
            </w:r>
            <w:r>
              <w:rPr>
                <w:rFonts w:ascii="SimSun" w:hAnsi="SimSun"/>
                <w:b w:val="false"/>
                <w:i w:val="false"/>
                <w:color w:val="000000"/>
                <w:sz w:val="21"/>
              </w:rPr>
              <w:t>Zoological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植物学实验</w:t>
            </w:r>
            <w:r>
              <w:br/>
            </w:r>
            <w:r>
              <w:br/>
            </w:r>
            <w:r>
              <w:rPr>
                <w:rFonts w:ascii="SimSun" w:hAnsi="SimSun"/>
                <w:b w:val="false"/>
                <w:i w:val="false"/>
                <w:color w:val="000000"/>
                <w:sz w:val="21"/>
              </w:rPr>
              <w:t>Experiments in Botany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生态学实验（上）</w:t>
            </w:r>
            <w:r>
              <w:br/>
            </w:r>
            <w:r>
              <w:br/>
            </w:r>
            <w:r>
              <w:rPr>
                <w:rFonts w:ascii="SimSun" w:hAnsi="SimSun"/>
                <w:b w:val="false"/>
                <w:i w:val="false"/>
                <w:color w:val="000000"/>
                <w:sz w:val="21"/>
              </w:rPr>
              <w:t>Experiments in Ecology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生态学实验（下）</w:t>
            </w:r>
            <w:r>
              <w:br/>
            </w:r>
            <w:r>
              <w:br/>
            </w:r>
            <w:r>
              <w:rPr>
                <w:rFonts w:ascii="SimSun" w:hAnsi="SimSun"/>
                <w:b w:val="false"/>
                <w:i w:val="false"/>
                <w:color w:val="000000"/>
                <w:sz w:val="21"/>
              </w:rPr>
              <w:t>Experiments in Ecology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生态学野外实习</w:t>
            </w:r>
            <w:r>
              <w:br/>
            </w:r>
            <w:r>
              <w:br/>
            </w:r>
            <w:r>
              <w:rPr>
                <w:rFonts w:ascii="SimSun" w:hAnsi="SimSun"/>
                <w:b w:val="false"/>
                <w:i w:val="false"/>
                <w:color w:val="000000"/>
                <w:sz w:val="21"/>
              </w:rPr>
              <w:t>Practice of Field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生物科学研究设计与实践（上）(H)</w:t>
            </w:r>
            <w:r>
              <w:br/>
            </w:r>
            <w:r>
              <w:br/>
            </w:r>
            <w:r>
              <w:rPr>
                <w:rFonts w:ascii="SimSun" w:hAnsi="SimSun"/>
                <w:b w:val="false"/>
                <w:i w:val="false"/>
                <w:color w:val="000000"/>
                <w:sz w:val="21"/>
              </w:rPr>
              <w:t>Advanced Interdisciplinary Biology Seminars (1)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BIOL50055h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生物科学研究设计与实践（下）(H)</w:t>
            </w:r>
            <w:r>
              <w:br/>
            </w:r>
            <w:r>
              <w:br/>
            </w:r>
            <w:r>
              <w:rPr>
                <w:rFonts w:ascii="SimSun" w:hAnsi="SimSun"/>
                <w:b w:val="false"/>
                <w:i w:val="false"/>
                <w:color w:val="000000"/>
                <w:sz w:val="21"/>
              </w:rPr>
              <w:t>Advanced Interdisciplinary Biology Seminars (3) (H)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BIOL50057h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二选一必选一门，如果选了两门，只计一门，另一门进入任意选修。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二选一必选一门，如果选了两门，只计一门，另一门进入任意选修。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生态学野外研究方法与实践</w:t>
            </w:r>
            <w:r>
              <w:br/>
            </w:r>
            <w:r>
              <w:br/>
            </w:r>
            <w:r>
              <w:rPr>
                <w:rFonts w:ascii="SimSun" w:hAnsi="SimSun"/>
                <w:b w:val="false"/>
                <w:i w:val="false"/>
                <w:color w:val="000000"/>
                <w:sz w:val="21"/>
              </w:rPr>
              <w:t>Field Methods and Practice in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在听学术报告、组会汇报和作报告方面有具体要求，详见《生命科学学院研究生培养必修环节具体要求与实施细则》。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需参加至少一门本科生或研究生相关课程的教学助理或实验指导工作。一般时间为一学期，所参与的课程的选修人数应在15人以上。由任课教师进行考核评分。</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到具有世界一流水平的境外机构进行不少于半学年的学习、研究或联合培养。</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在第11学期完成，详见生命科学学院论文开题实施细则。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在第10学期完成（5年级需提出第1次申请)，详见生命科学学院博士生资格考试实施细则。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在第13学期完成，详见生命科学学院论文中期考核实施细则。</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