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image/png" PartName="/word/media/document_image_rId7.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计算与智能创新学院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 计算机科学与技术-计算机科学与技术-网络空间安全本博融通培养方案 （拔尖人才试验班适用）</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计算机科学与技术是以算法设计与系统创新为核心，研究计算理论、软硬件体系及智能系统开发的战略性学科，承载着国家关键技术突破的核心使命。复旦大学计算机拔尖人才试验班，紧扣国家信息技术自主创新与全球科技竞争战略需求，依托多学科交叉平台与顶尖科研资源，聚焦计算机科学基础理论突破与分布式计算、量子信息等前沿领域，构建"基础理论-核心技术-系统实践"三位一体培养体系。试验班坚持"厚植数理根基、贯通系统思维、锻造创新基因"的培养路径，通过数学物理强化课程、计算机算法、系统核心课程群、前沿专题研讨的三阶知识体系，夯实学生理论基础。通过实施学术导师全程指导机制，塑造学生学术创新能力与全球学术视野，为突破计算机科学技术核心技术输送兼具理论深度与实践能力的领军人才，持续提供国家计算机科学技术发展的战略支撑。</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致力于培养具备卓越计算机理论素养与坚实数理根基的计算机科学创新型领军人才。学生将了解计算机技术的革新浪潮与发展前沿，通过实践实训，熟练掌握计算机领域相关技术，具备广阔的视野与学术创新性，为继续在全球顶尖学府攻读计算机及相关领域博士学位奠定坚实基础。</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4470400" cy="18457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4470400" cy="1845733"/>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p>
    <w:p>
      <w:pPr>
        <w:spacing w:after="0"/>
        <w:ind w:left="0"/>
        <w:jc w:val="left"/>
      </w:pPr>
      <w:r>
        <w:rPr>
          <w:rFonts w:ascii="SimSun" w:hAnsi="SimSun"/>
          <w:b w:val="false"/>
          <w:i w:val="false"/>
          <w:color w:val="000000"/>
          <w:sz w:val="21"/>
        </w:rPr>
        <w:t>
                  1.修业年限：</w:t>
      </w:r>
      <w:r>
        <w:rPr>
          <w:rFonts w:ascii="SimSun" w:hAnsi="SimSun"/>
          <w:b w:val="false"/>
          <w:i w:val="false"/>
          <w:color w:val="000000"/>
          <w:sz w:val="21"/>
        </w:rPr>
        <w:t>8</w:t>
      </w:r>
      <w:r>
        <w:rPr>
          <w:rFonts w:ascii="SimSun" w:hAnsi="SimSun"/>
          <w:b w:val="false"/>
          <w:i w:val="false"/>
          <w:color w:val="000000"/>
          <w:sz w:val="21"/>
        </w:rPr>
        <w:t xml:space="preserve">年
      </w:t>
      </w:r>
    </w:p>
    <w:p>
      <w:pPr>
        <w:spacing w:after="0"/>
        <w:ind w:left="0"/>
        <w:jc w:val="left"/>
      </w:pPr>
      <w:r>
        <w:rPr>
          <w:rFonts w:ascii="SimSun" w:hAnsi="SimSun"/>
          <w:b w:val="false"/>
          <w:i w:val="false"/>
          <w:color w:val="000000"/>
          <w:sz w:val="21"/>
        </w:rPr>
        <w:t xml:space="preserve">
                  2.学业升段考核要求：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2年级（学业绩点排名后10%的学生）、3年级结束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面试内容：学生专业能力以及科研兴趣与潜力等方面</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5年级结束(4~6年级期间有2次申请机会)</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40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见学院博士生资格考试实施细则。
面试内容：学生专业能力、学术成就以及科研兴趣与潜力等方面</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60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3.学业退出说明：
      </w:t>
      </w:r>
    </w:p>
    <w:tbl>
      <w:tblPr>
        <w:tblW w:w="0" w:type="auto"/>
        <w:tblCellSpacing w:w="0" w:type="auto"/>
        <w:tblBorders>
          <w:top w:val="none"/>
          <w:left w:val="none"/>
          <w:bottom w:val="none"/>
          <w:right w:val="none"/>
          <w:insideH w:val="none"/>
          <w:insideV w:val="none"/>
        </w:tblBorders>
      </w:tblPr>
      <w:tblGrid>
        <w:gridCol w:w="3818"/>
        <w:gridCol w:w="3409"/>
        <w:gridCol w:w="6407"/>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退出形式</w:t>
            </w:r>
          </w:p>
        </w:tc>
        <w:tc>
          <w:tcPr>
            <w:tcW w:w="6407"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退出后修读专业</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计算机科学与技术拔尖人才试验班本科培养方案</w:t>
            </w: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本院计算机科学与技术、网络空间安全相关硕士培养方案</w:t>
            </w: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4.学业补入说明：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是否补入</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补入时间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是   （总额不变，动态进出）</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面试内容：学生专业能力、学术成就以及科研兴趣与潜力等方面</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面试内容：学生专业能力、学术成就以及科研兴趣与潜力等方面</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否   （只出不进）</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r>
    </w:tbl>
    <w:p>
      <w:pPr>
        <w:spacing w:after="0"/>
        <w:ind w:left="0"/>
        <w:jc w:val="left"/>
      </w:pPr>
      <w:r>
        <w:rPr>
          <w:rFonts w:ascii="SimSun" w:hAnsi="SimSun"/>
          <w:b w:val="false"/>
          <w:i w:val="false"/>
          <w:color w:val="000000"/>
          <w:sz w:val="21"/>
        </w:rPr>
        <w:t xml:space="preserve">
                  5.学位授予说明：
      </w:t>
      </w:r>
    </w:p>
    <w:tbl>
      <w:tblPr>
        <w:tblW w:w="0" w:type="auto"/>
        <w:tblCellSpacing w:w="0" w:type="auto"/>
        <w:tblBorders>
          <w:top w:val="none"/>
          <w:left w:val="none"/>
          <w:bottom w:val="none"/>
          <w:right w:val="none"/>
          <w:insideH w:val="none"/>
          <w:insideV w:val="none"/>
        </w:tblBorders>
      </w:tblPr>
      <w:tblGrid>
        <w:gridCol w:w="1637"/>
        <w:gridCol w:w="2046"/>
        <w:gridCol w:w="1772"/>
        <w:gridCol w:w="1772"/>
        <w:gridCol w:w="1772"/>
        <w:gridCol w:w="954"/>
        <w:gridCol w:w="3681"/>
      </w:tblGrid>
      <w:tr>
        <w:trPr>
          <w:trHeight w:val="45" w:hRule="atLeast"/>
        </w:trPr>
        <w:tc>
          <w:tcPr>
            <w:tcW w:w="16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20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时间</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授予学位</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学位类型</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专业名称</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学段审核要求</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r>
              <w:rPr>
                <w:rFonts w:ascii="SimSun" w:hAnsi="SimSun"/>
                <w:b w:val="false"/>
                <w:i w:val="false"/>
                <w:color w:val="000000"/>
                <w:sz w:val="21"/>
              </w:rPr>
              <w:t xml:space="preserve">年级
                    </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理学学士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计算机科学与技术</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按照不少于总学分比例</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按照不少于学分数   </w:t>
            </w:r>
            <w:r>
              <w:rPr>
                <w:rFonts w:ascii="SimSun" w:hAnsi="SimSun"/>
                <w:b w:val="false"/>
                <w:i w:val="false"/>
                <w:color w:val="000000"/>
                <w:sz w:val="21"/>
              </w:rPr>
              <w:t xml:space="preserve"> </w:t>
            </w:r>
            <w:r>
              <w:rPr>
                <w:rFonts w:ascii="SimSun" w:hAnsi="SimSun"/>
                <w:b w:val="false"/>
                <w:i w:val="false"/>
                <w:color w:val="000000"/>
                <w:sz w:val="21"/>
              </w:rPr>
              <w:t>137</w:t>
            </w:r>
          </w:p>
        </w:tc>
      </w:tr>
      <w:tr>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954"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必修课组须通过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通识教育课程</w:t>
            </w:r>
            <w:r>
              <w:rPr>
                <w:rFonts w:ascii="SimSun" w:hAnsi="SimSun"/>
                <w:b w:val="false"/>
                <w:i w:val="false"/>
                <w:color w:val="000000"/>
                <w:sz w:val="21"/>
              </w:rPr>
              <w:t xml:space="preserve"> </w:t>
            </w:r>
            <w:r>
              <w:rPr>
                <w:rFonts w:ascii="SimSun" w:hAnsi="SimSun"/>
                <w:b w:val="false"/>
                <w:i w:val="false"/>
                <w:color w:val="000000"/>
                <w:sz w:val="21"/>
              </w:rPr>
              <w:t>39</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专业培养课程</w:t>
            </w:r>
            <w:r>
              <w:rPr>
                <w:rFonts w:ascii="SimSun" w:hAnsi="SimSun"/>
                <w:b w:val="false"/>
                <w:i w:val="false"/>
                <w:color w:val="000000"/>
                <w:sz w:val="21"/>
              </w:rPr>
              <w:t xml:space="preserve"> </w:t>
            </w:r>
            <w:r>
              <w:rPr>
                <w:rFonts w:ascii="SimSun" w:hAnsi="SimSun"/>
                <w:b w:val="false"/>
                <w:i w:val="false"/>
                <w:color w:val="000000"/>
                <w:sz w:val="21"/>
              </w:rPr>
              <w:t>81</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专业进阶模块</w:t>
            </w:r>
            <w:r>
              <w:rPr>
                <w:rFonts w:ascii="SimSun" w:hAnsi="SimSun"/>
                <w:b w:val="false"/>
                <w:i w:val="false"/>
                <w:color w:val="000000"/>
                <w:sz w:val="21"/>
              </w:rPr>
              <w:t xml:space="preserve"> </w:t>
            </w:r>
            <w:r>
              <w:rPr>
                <w:rFonts w:ascii="SimSun" w:hAnsi="SimSun"/>
                <w:b w:val="false"/>
                <w:i w:val="false"/>
                <w:color w:val="000000"/>
                <w:sz w:val="21"/>
              </w:rPr>
              <w:t>10</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融合创新能力实践模块</w:t>
            </w:r>
            <w:r>
              <w:rPr>
                <w:rFonts w:ascii="SimSun" w:hAnsi="SimSun"/>
                <w:b w:val="false"/>
                <w:i w:val="false"/>
                <w:color w:val="000000"/>
                <w:sz w:val="21"/>
              </w:rPr>
              <w:t xml:space="preserve"> </w:t>
            </w:r>
            <w:r>
              <w:rPr>
                <w:rFonts w:ascii="SimSun" w:hAnsi="SimSun"/>
                <w:b w:val="false"/>
                <w:i w:val="false"/>
                <w:color w:val="000000"/>
                <w:sz w:val="21"/>
              </w:rPr>
              <w:t>7</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研究生学段（博士生资格考核分流）</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r>
              <w:rPr>
                <w:rFonts w:ascii="SimSun" w:hAnsi="SimSun"/>
                <w:b w:val="false"/>
                <w:i w:val="false"/>
                <w:color w:val="000000"/>
                <w:sz w:val="21"/>
              </w:rPr>
              <w:t xml:space="preserve"> </w:t>
            </w:r>
            <w:r>
              <w:rPr>
                <w:rFonts w:ascii="SimSun" w:hAnsi="SimSun"/>
                <w:b w:val="false"/>
                <w:i w:val="false"/>
                <w:color w:val="000000"/>
                <w:sz w:val="21"/>
              </w:rPr>
              <w:t>年级</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理学硕士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学术学位</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按照本硕融通培养方案进行毕业审核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按照硕士培养方案进行毕业审核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p>
        </w:tc>
      </w:tr>
      <w:tr>
        <w:trPr>
          <w:trHeight w:val="45" w:hRule="atLeast"/>
        </w:trPr>
        <w:tc>
          <w:tcPr>
            <w:tcW w:w="1637"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博士生学段
                    </w:t>
            </w:r>
          </w:p>
        </w:tc>
        <w:tc>
          <w:tcPr>
            <w:tcW w:w="2046"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r>
              <w:rPr>
                <w:rFonts w:ascii="SimSun" w:hAnsi="SimSun"/>
                <w:b w:val="false"/>
                <w:i w:val="false"/>
                <w:color w:val="000000"/>
                <w:sz w:val="21"/>
              </w:rPr>
              <w:t xml:space="preserve"> </w:t>
            </w:r>
            <w:r>
              <w:rPr>
                <w:rFonts w:ascii="SimSun" w:hAnsi="SimSun"/>
                <w:b w:val="false"/>
                <w:i w:val="false"/>
                <w:color w:val="000000"/>
                <w:sz w:val="21"/>
              </w:rPr>
              <w:t>年级</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理学博士</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学术学位</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0" w:type="auto"/>
            <w:gridSpan w:val="2"/>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按照“2+X+Y”本博融通培养方案进行毕业审核   </w:t>
            </w:r>
          </w:p>
        </w:tc>
      </w:tr>
    </w:tbl>
    <w:p>
      <w:pPr>
        <w:spacing w:after="0"/>
        <w:ind w:left="0"/>
        <w:jc w:val="left"/>
      </w:pPr>
      <w:r>
        <w:rPr>
          <w:rFonts w:ascii="SimSun" w:hAnsi="SimSun"/>
          <w:b/>
          <w:i w:val="false"/>
          <w:color w:val="000000"/>
          <w:sz w:val="24"/>
        </w:rPr>
        <w:t xml:space="preserve">
       五.    学分要求
      </w:t>
      </w:r>
    </w:p>
    <w:p>
      <w:pPr>
        <w:spacing w:after="0"/>
        <w:ind w:left="0"/>
        <w:jc w:val="left"/>
      </w:pPr>
    </w:p>
    <w:p>
      <w:pPr>
        <w:spacing w:after="0"/>
        <w:ind w:left="0"/>
        <w:jc w:val="left"/>
      </w:pPr>
      <w:r>
        <w:drawing>
          <wp:inline distT="0" distB="0" distL="0" distR="0">
            <wp:extent cx="5486400" cy="121920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486400" cy="12192000"/>
                    </a:xfrm>
                    <a:prstGeom prst="rect">
                      <a:avLst/>
                    </a:prstGeom>
                  </pic:spPr>
                </pic:pic>
              </a:graphicData>
            </a:graphic>
          </wp:inline>
        </w:drawing>
      </w:r>
    </w:p>
    <w:p>
      <w:pPr>
        <w:spacing w:after="0"/>
        <w:ind w:left="0"/>
        <w:jc w:val="left"/>
      </w:pPr>
      <w:r>
        <w:rPr>
          <w:rFonts w:ascii="SimSun" w:hAnsi="SimSun"/>
          <w:b w:val="false"/>
          <w:i w:val="false"/>
          <w:color w:val="000000"/>
          <w:sz w:val="21"/>
        </w:rPr>
        <w:t>专业进阶路径：157 学分</w:t>
      </w:r>
    </w:p>
    <w:p>
      <w:pPr>
        <w:spacing w:after="0"/>
        <w:ind w:left="0"/>
        <w:jc w:val="left"/>
      </w:pPr>
      <w:r>
        <w:rPr>
          <w:rFonts w:ascii="SimSun" w:hAnsi="SimSun"/>
          <w:b w:val="false"/>
          <w:i w:val="false"/>
          <w:color w:val="000000"/>
          <w:sz w:val="21"/>
        </w:rPr>
        <w:t xml:space="preserve">   本路径学生本博期间必须修满教学计划规定的 157 学分，包括通识教育课程41学分、专业培养课程 90 学分、专业选修课程10学分，融合创新能力培养16学分。</w:t>
      </w:r>
      <w:r>
        <w:br/>
      </w:r>
      <w:r>
        <w:br/>
      </w:r>
      <w:r>
        <w:rPr>
          <w:rFonts w:ascii="SimSun" w:hAnsi="SimSun"/>
          <w:b w:val="false"/>
          <w:i w:val="false"/>
          <w:color w:val="000000"/>
          <w:sz w:val="21"/>
        </w:rPr>
        <w:t xml:space="preserve">      其中，本科学段需要完成 137 学分（含实践学分不低于35学分；含美育学分不少于2学分，其中至少在“美学和艺术史论类”或“艺术鉴赏和评论类”课程中修读1学分，并至少参与一项艺术实践活动；劳动教育不少于32学时，并满足劳动周教育要求），包括通识教育课程 39 学分、专业培养课程 81 学分、专业选修课程修读 10 学分、融合创新能力培养 7 学分。</w:t>
      </w:r>
    </w:p>
    <w:p>
      <w:pPr>
        <w:spacing w:after="0"/>
        <w:ind w:left="0"/>
        <w:jc w:val="left"/>
      </w:pP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（一）本科学位</w:t>
      </w:r>
    </w:p>
    <w:p>
      <w:pPr>
        <w:spacing w:after="0"/>
        <w:ind w:left="0"/>
        <w:jc w:val="left"/>
      </w:pPr>
      <w:r>
        <w:rPr>
          <w:rFonts w:ascii="SimSun" w:hAnsi="SimSun"/>
          <w:b w:val="false"/>
          <w:i w:val="false"/>
          <w:color w:val="000000"/>
          <w:sz w:val="21"/>
        </w:rPr>
        <w:t xml:space="preserve">1. 4年级结束时，如达到学士学位要求者授予理学学士学位。 </w:t>
      </w:r>
    </w:p>
    <w:p>
      <w:pPr>
        <w:spacing w:after="0"/>
        <w:ind w:left="0"/>
        <w:jc w:val="left"/>
      </w:pPr>
      <w:r>
        <w:rPr>
          <w:rFonts w:ascii="SimSun" w:hAnsi="SimSun"/>
          <w:b w:val="false"/>
          <w:i w:val="false"/>
          <w:color w:val="000000"/>
          <w:sz w:val="21"/>
        </w:rPr>
        <w:t>（1）修满规定的学分，达到本科教学培养方案规定的各项要求。</w:t>
      </w:r>
    </w:p>
    <w:p>
      <w:pPr>
        <w:spacing w:after="0"/>
        <w:ind w:left="0"/>
        <w:jc w:val="left"/>
      </w:pPr>
      <w:r>
        <w:rPr>
          <w:rFonts w:ascii="SimSun" w:hAnsi="SimSun"/>
          <w:b w:val="false"/>
          <w:i w:val="false"/>
          <w:color w:val="000000"/>
          <w:sz w:val="21"/>
        </w:rPr>
        <w:t>（2）以符合学生毕业时所在专业教学培养方案规定的所有课程的有效成绩为准计算平均绩点，且此平均绩点大于或等于2.0。</w:t>
      </w:r>
    </w:p>
    <w:p>
      <w:pPr>
        <w:spacing w:after="0"/>
        <w:ind w:left="0"/>
        <w:jc w:val="left"/>
      </w:pPr>
      <w:r>
        <w:rPr>
          <w:rFonts w:ascii="SimSun" w:hAnsi="SimSun"/>
          <w:b w:val="false"/>
          <w:i w:val="false"/>
          <w:color w:val="000000"/>
          <w:sz w:val="21"/>
        </w:rPr>
        <w:t>2. 本科学段主动退出和转段考核不合格退出本博融通计划的学生，需按照本专业本科“2+X”培养方案修读课程，如达到学士学位要求者授予理学学士学位。</w:t>
      </w:r>
    </w:p>
    <w:p>
      <w:pPr>
        <w:spacing w:after="0"/>
        <w:ind w:left="0"/>
        <w:jc w:val="left"/>
      </w:pPr>
      <w:r>
        <w:rPr>
          <w:rFonts w:ascii="SimSun" w:hAnsi="SimSun"/>
          <w:b w:val="false"/>
          <w:i w:val="false"/>
          <w:color w:val="000000"/>
          <w:sz w:val="21"/>
        </w:rPr>
        <w:t>（二）研究生学位</w:t>
      </w:r>
    </w:p>
    <w:p>
      <w:pPr>
        <w:spacing w:after="0"/>
        <w:ind w:left="0"/>
        <w:jc w:val="left"/>
      </w:pPr>
      <w:r>
        <w:rPr>
          <w:rFonts w:ascii="SimSun" w:hAnsi="SimSun"/>
          <w:b w:val="false"/>
          <w:i w:val="false"/>
          <w:color w:val="000000"/>
          <w:sz w:val="21"/>
        </w:rPr>
        <w:t xml:space="preserve">1、 达到博士学位要求者授予理学博士学位。          </w:t>
      </w:r>
      <w:r>
        <w:br/>
      </w:r>
      <w:r>
        <w:br/>
      </w:r>
      <w:r>
        <w:rPr>
          <w:rFonts w:ascii="SimSun" w:hAnsi="SimSun"/>
          <w:b w:val="false"/>
          <w:i w:val="false"/>
          <w:color w:val="000000"/>
          <w:sz w:val="21"/>
        </w:rPr>
        <w:t xml:space="preserve">（1）博士学位申请人提出学位论文答辩申请时，必须已修满学校规定的学分；所有修读课程成绩合格，其中学位课程平均绩点原则上不低于 2.5。          </w:t>
      </w:r>
      <w:r>
        <w:br/>
      </w:r>
      <w:r>
        <w:br/>
      </w:r>
      <w:r>
        <w:rPr>
          <w:rFonts w:ascii="SimSun" w:hAnsi="SimSun"/>
          <w:b w:val="false"/>
          <w:i w:val="false"/>
          <w:color w:val="000000"/>
          <w:sz w:val="21"/>
        </w:rPr>
        <w:t>（2）学位授予标准院系补充说明：</w:t>
      </w:r>
      <w:r>
        <w:br/>
      </w:r>
      <w:r>
        <w:br/>
      </w:r>
      <w:r>
        <w:rPr>
          <w:rFonts w:ascii="SimSun" w:hAnsi="SimSun"/>
          <w:b w:val="false"/>
          <w:i w:val="false"/>
          <w:color w:val="000000"/>
          <w:sz w:val="21"/>
        </w:rPr>
        <w:t>按照《复旦大学学位授予工作细则》的规定执行。博士生申请学位发表的论文必须以第一作者发表（含导师第一作者、申请人第二作者的情况）、且第一署名单位为复旦大学，并且满足以下要求之一：</w:t>
      </w:r>
      <w:r>
        <w:br/>
      </w:r>
      <w:r>
        <w:br/>
      </w:r>
      <w:r>
        <w:rPr>
          <w:rFonts w:ascii="SimSun" w:hAnsi="SimSun"/>
          <w:b w:val="false"/>
          <w:i w:val="false"/>
          <w:color w:val="000000"/>
          <w:sz w:val="21"/>
        </w:rPr>
        <w:t xml:space="preserve">1．在学院学术委员会认定的一区国际学术会议/期刊上发表（含录用）论文（长文）1篇； </w:t>
      </w:r>
      <w:r>
        <w:br/>
      </w:r>
      <w:r>
        <w:br/>
      </w:r>
      <w:r>
        <w:rPr>
          <w:rFonts w:ascii="SimSun" w:hAnsi="SimSun"/>
          <w:b w:val="false"/>
          <w:i w:val="false"/>
          <w:color w:val="000000"/>
          <w:sz w:val="21"/>
        </w:rPr>
        <w:t xml:space="preserve">2．在学院学术委员会认定的二区国际学术会议/期刊或一区中文学术期刊上发表（含录用）论文（长文）2篇。 </w:t>
      </w:r>
    </w:p>
    <w:p>
      <w:pPr>
        <w:spacing w:after="0"/>
        <w:ind w:left="0"/>
        <w:jc w:val="left"/>
      </w:pPr>
      <w:r>
        <w:rPr>
          <w:rFonts w:ascii="SimSun" w:hAnsi="SimSun"/>
          <w:b w:val="false"/>
          <w:i w:val="false"/>
          <w:color w:val="000000"/>
          <w:sz w:val="21"/>
        </w:rPr>
        <w:t xml:space="preserve">2、研究生学段主动退出和博士生资格考核不合格退出本博融通计划的学生，需按照本院计算机科学与技术、网络空间安全相关硕士培养方案修读课程，如达到硕士学位要求者授予相应硕士学位。          </w:t>
      </w:r>
      <w:r>
        <w:br/>
      </w:r>
      <w:r>
        <w:br/>
      </w:r>
      <w:r>
        <w:rPr>
          <w:rFonts w:ascii="SimSun" w:hAnsi="SimSun"/>
          <w:b w:val="false"/>
          <w:i w:val="false"/>
          <w:color w:val="000000"/>
          <w:sz w:val="21"/>
        </w:rPr>
        <w:t xml:space="preserve">（1）硕士学位申请人提出学位论文答辩申请时，必须已修满学校规定的学分；所有修读课程成绩合格，其中学位课程平均绩点原则上不低于 2.5。          </w:t>
      </w:r>
      <w:r>
        <w:br/>
      </w:r>
      <w:r>
        <w:br/>
      </w:r>
      <w:r>
        <w:rPr>
          <w:rFonts w:ascii="SimSun" w:hAnsi="SimSun"/>
          <w:b w:val="false"/>
          <w:i w:val="false"/>
          <w:color w:val="000000"/>
          <w:sz w:val="21"/>
        </w:rPr>
        <w:t>（2）硕士学位授予标准院系补充说明：</w:t>
      </w:r>
      <w:r>
        <w:br/>
      </w:r>
      <w:r>
        <w:br/>
      </w:r>
      <w:r>
        <w:rPr>
          <w:rFonts w:ascii="SimSun" w:hAnsi="SimSun"/>
          <w:b w:val="false"/>
          <w:i w:val="false"/>
          <w:color w:val="000000"/>
          <w:sz w:val="21"/>
        </w:rPr>
        <w:t>按照《复旦大学学位授予工作细则》的规定执行。</w:t>
      </w:r>
      <w:r>
        <w:br/>
      </w:r>
      <w:r>
        <w:br/>
      </w:r>
      <w:r>
        <w:rPr>
          <w:rFonts w:ascii="SimSun" w:hAnsi="SimSun"/>
          <w:b w:val="false"/>
          <w:i w:val="false"/>
          <w:color w:val="000000"/>
          <w:sz w:val="21"/>
        </w:rPr>
        <w:t>学术学位硕士生申请学位发表的论文必须以第一作者发表（含导师第一作者、申请人第二作者的情况）、且第一署名单位为复旦大学，满足以下要求之一：</w:t>
      </w:r>
      <w:r>
        <w:br/>
      </w:r>
      <w:r>
        <w:br/>
      </w:r>
      <w:r>
        <w:rPr>
          <w:rFonts w:ascii="SimSun" w:hAnsi="SimSun"/>
          <w:b w:val="false"/>
          <w:i w:val="false"/>
          <w:color w:val="000000"/>
          <w:sz w:val="21"/>
        </w:rPr>
        <w:t>1．在学院学术委员会认定的一区/二区国际学术会议或期刊上发表（含录用）论文（长文）1篇；</w:t>
      </w:r>
      <w:r>
        <w:br/>
      </w:r>
      <w:r>
        <w:br/>
      </w:r>
      <w:r>
        <w:rPr>
          <w:rFonts w:ascii="SimSun" w:hAnsi="SimSun"/>
          <w:b w:val="false"/>
          <w:i w:val="false"/>
          <w:color w:val="000000"/>
          <w:sz w:val="21"/>
        </w:rPr>
        <w:t>2．在学院学术委员会认定的一区/二区中国学术期刊上发表（含录用）论文（长文）1篇。</w:t>
      </w:r>
      <w:r>
        <w:br/>
      </w:r>
      <w:r>
        <w:br/>
      </w:r>
      <w:r>
        <w:rPr>
          <w:rFonts w:ascii="SimSun" w:hAnsi="SimSun"/>
          <w:b w:val="false"/>
          <w:i w:val="false"/>
          <w:color w:val="000000"/>
          <w:sz w:val="21"/>
        </w:rPr>
        <w:t>专业学位硕士申请学位没有发表学术论文的要求。</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rPr>
          <w:rFonts w:ascii="SimSun" w:hAnsi="SimSun"/>
          <w:b w:val="false"/>
          <w:i w:val="false"/>
          <w:color w:val="000000"/>
          <w:sz w:val="21"/>
        </w:rPr>
        <w:t>1.课程体系</w:t>
      </w:r>
    </w:p>
    <w:p>
      <w:pPr>
        <w:spacing w:after="0"/>
        <w:ind w:left="0"/>
        <w:jc w:val="left"/>
      </w:pPr>
    </w:p>
    <w:p>
      <w:pPr>
        <w:spacing w:after="0"/>
        <w:ind w:left="0"/>
        <w:jc w:val="left"/>
      </w:pPr>
      <w:r>
        <w:drawing>
          <wp:inline distT="0" distB="0" distL="0" distR="0">
            <wp:extent cx="4572000" cy="25738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572000" cy="2573867"/>
                    </a:xfrm>
                    <a:prstGeom prst="rect">
                      <a:avLst/>
                    </a:prstGeom>
                  </pic:spPr>
                </pic:pic>
              </a:graphicData>
            </a:graphic>
          </wp:inline>
        </w:drawing>
      </w:r>
    </w:p>
    <w:p>
      <w:pPr>
        <w:spacing w:after="0"/>
        <w:ind w:left="0"/>
        <w:jc w:val="left"/>
      </w:pPr>
      <w:r>
        <w:rPr>
          <w:rFonts w:ascii="SimSun" w:hAnsi="SimSun"/>
          <w:b w:val="false"/>
          <w:i w:val="false"/>
          <w:color w:val="000000"/>
          <w:sz w:val="21"/>
        </w:rPr>
        <w:t>2.科研训练体系</w:t>
      </w:r>
    </w:p>
    <w:p>
      <w:pPr>
        <w:spacing w:after="0"/>
        <w:ind w:left="0"/>
        <w:jc w:val="left"/>
      </w:pPr>
      <w:r>
        <w:rPr>
          <w:rFonts w:ascii="SimSun" w:hAnsi="SimSun"/>
          <w:b w:val="false"/>
          <w:i w:val="false"/>
          <w:color w:val="000000"/>
          <w:sz w:val="21"/>
        </w:rPr>
        <w:t>针对本博融通计划学生在二年级下学期设置《课题组轮转》，要求学生在3个以上不同课题组开展无学分轮转，通过参加讨论班以及交流讨论等方式了解不同研究方向并考虑自身科研兴趣。学期结束后初步确定导师及课题组。</w:t>
      </w:r>
      <w:r>
        <w:br/>
      </w:r>
      <w:r>
        <w:br/>
      </w:r>
      <w:r>
        <w:rPr>
          <w:rFonts w:ascii="SimSun" w:hAnsi="SimSun"/>
          <w:b w:val="false"/>
          <w:i w:val="false"/>
          <w:color w:val="000000"/>
          <w:sz w:val="21"/>
        </w:rPr>
        <w:t>在三年级上学期设置《综合实践》课程，在指导教师组的带领下完成一个与本专业研究方向密切相关的专业能力综合实践，突出强调理论基础和科研技能的综合应用。学期结束后正式确定导师及课题组。</w:t>
      </w:r>
      <w:r>
        <w:br/>
      </w:r>
      <w:r>
        <w:br/>
      </w:r>
      <w:r>
        <w:rPr>
          <w:rFonts w:ascii="SimSun" w:hAnsi="SimSun"/>
          <w:b w:val="false"/>
          <w:i w:val="false"/>
          <w:color w:val="000000"/>
          <w:sz w:val="21"/>
        </w:rPr>
        <w:t>在三年级下学期设置《前沿探索》课程，在课题组导师指导下完成一个与本专业研究方向密切相关的科研课题，突出强调基础理论研究，最终成果体现为学术论文、技术报告、工具系统、开源项目或科创竞赛项目等（可合作完成）。</w:t>
      </w:r>
      <w:r>
        <w:br/>
      </w:r>
      <w:r>
        <w:br/>
      </w:r>
      <w:r>
        <w:rPr>
          <w:rFonts w:ascii="SimSun" w:hAnsi="SimSun"/>
          <w:b w:val="false"/>
          <w:i w:val="false"/>
          <w:color w:val="000000"/>
          <w:sz w:val="21"/>
        </w:rPr>
        <w:t>同时，鼓励学生结合《综合实践》和《前沿探索》课程申请FDUROP项目，并参与导师课题组的科研工作。</w:t>
      </w:r>
    </w:p>
    <w:p>
      <w:pPr>
        <w:spacing w:after="0"/>
        <w:ind w:left="0"/>
        <w:jc w:val="left"/>
      </w:pPr>
      <w:r>
        <w:rPr>
          <w:rFonts w:ascii="SimSun" w:hAnsi="SimSun"/>
          <w:b/>
          <w:i w:val="false"/>
          <w:color w:val="000000"/>
          <w:sz w:val="24"/>
        </w:rPr>
        <w:t xml:space="preserve">
       八.    课程设置与修读要求
      </w:t>
      </w:r>
    </w:p>
    <w:p>
      <w:pPr>
        <w:spacing w:after="0"/>
        <w:ind w:left="0"/>
        <w:jc w:val="left"/>
      </w:pPr>
      <w:r>
        <w:rPr>
          <w:rFonts w:ascii="SimSun" w:hAnsi="SimSun"/>
          <w:b w:val="false"/>
          <w:i w:val="false"/>
          <w:color w:val="000000"/>
          <w:sz w:val="21"/>
        </w:rPr>
        <w:t>（一）通识教育课程（41学分）</w:t>
      </w:r>
    </w:p>
    <w:p>
      <w:pPr>
        <w:spacing w:after="0"/>
        <w:ind w:left="0"/>
        <w:jc w:val="left"/>
      </w:pPr>
      <w:r>
        <w:rPr>
          <w:rFonts w:ascii="SimSun" w:hAnsi="SimSun"/>
          <w:b w:val="false"/>
          <w:i w:val="false"/>
          <w:color w:val="000000"/>
          <w:sz w:val="21"/>
        </w:rPr>
        <w:t>通识教育课程包括通识教育核心课程和专项教育课程。</w:t>
      </w:r>
    </w:p>
    <w:p>
      <w:pPr>
        <w:spacing w:after="0"/>
        <w:ind w:left="0"/>
        <w:jc w:val="left"/>
      </w:pPr>
      <w:r>
        <w:rPr>
          <w:rFonts w:ascii="SimSun" w:hAnsi="SimSun"/>
          <w:b w:val="false"/>
          <w:i w:val="false"/>
          <w:color w:val="000000"/>
          <w:sz w:val="21"/>
        </w:rPr>
        <w:t>1.通识教育核心课程（28学分）</w:t>
      </w:r>
    </w:p>
    <w:p>
      <w:pPr>
        <w:spacing w:after="0"/>
        <w:ind w:left="0"/>
        <w:jc w:val="left"/>
      </w:pPr>
      <w:r>
        <w:rPr>
          <w:rFonts w:ascii="SimSun" w:hAnsi="SimSun"/>
          <w:b w:val="false"/>
          <w:i w:val="false"/>
          <w:color w:val="000000"/>
          <w:sz w:val="21"/>
        </w:rPr>
        <w:t>要求修读 28 学分，含思想政治理论课21学分（其中研究生学位课2学分），七大模块课程6学分（美育学分不少于2学分），大学生国家安全教育1学分。</w:t>
      </w:r>
    </w:p>
    <w:p>
      <w:pPr>
        <w:spacing w:after="0"/>
        <w:ind w:left="0"/>
        <w:jc w:val="left"/>
      </w:pPr>
      <w:r>
        <w:rPr>
          <w:rFonts w:ascii="SimSun" w:hAnsi="SimSun"/>
          <w:b w:val="false"/>
          <w:i w:val="false"/>
          <w:color w:val="000000"/>
          <w:sz w:val="21"/>
        </w:rPr>
        <w:t>2. 专项教育课程（13学分）</w:t>
      </w:r>
    </w:p>
    <w:p>
      <w:pPr>
        <w:spacing w:after="0"/>
        <w:ind w:left="0"/>
        <w:jc w:val="left"/>
      </w:pPr>
      <w:r>
        <w:rPr>
          <w:rFonts w:ascii="SimSun" w:hAnsi="SimSun"/>
          <w:b w:val="false"/>
          <w:i w:val="false"/>
          <w:color w:val="000000"/>
          <w:sz w:val="21"/>
        </w:rPr>
        <w:t>要求修读13学分。</w:t>
      </w:r>
    </w:p>
    <w:p>
      <w:pPr>
        <w:spacing w:after="0"/>
        <w:ind w:left="0"/>
        <w:jc w:val="left"/>
      </w:pPr>
      <w:r>
        <w:rPr>
          <w:rFonts w:ascii="SimSun" w:hAnsi="SimSun"/>
          <w:b w:val="false"/>
          <w:i w:val="false"/>
          <w:color w:val="000000"/>
          <w:sz w:val="21"/>
        </w:rPr>
        <w:t>（二）专业培养课程</w:t>
      </w:r>
    </w:p>
    <w:p>
      <w:pPr>
        <w:spacing w:after="0"/>
        <w:ind w:left="0"/>
        <w:jc w:val="left"/>
      </w:pPr>
      <w:r>
        <w:rPr>
          <w:rFonts w:ascii="SimSun" w:hAnsi="SimSun"/>
          <w:b w:val="false"/>
          <w:i w:val="false"/>
          <w:color w:val="000000"/>
          <w:sz w:val="21"/>
        </w:rPr>
        <w:t>专业培养课程包括大类基础课程和专业核心教育课程。</w:t>
      </w:r>
    </w:p>
    <w:p>
      <w:pPr>
        <w:spacing w:after="0"/>
        <w:ind w:left="0"/>
        <w:jc w:val="left"/>
      </w:pPr>
      <w:r>
        <w:rPr>
          <w:rFonts w:ascii="SimSun" w:hAnsi="SimSun"/>
          <w:b w:val="false"/>
          <w:i w:val="false"/>
          <w:color w:val="000000"/>
          <w:sz w:val="21"/>
        </w:rPr>
        <w:t>1. 学科基础课程（20学分）</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3405"/>
        <w:gridCol w:w="1035"/>
        <w:gridCol w:w="1124"/>
        <w:gridCol w:w="1120"/>
        <w:gridCol w:w="1720"/>
        <w:gridCol w:w="869"/>
        <w:gridCol w:w="1014"/>
        <w:gridCol w:w="991"/>
        <w:gridCol w:w="749"/>
        <w:gridCol w:w="1613"/>
        <w:gridCol w:w="2241"/>
      </w:tblGrid>
      <w:tr>
        <w:trPr>
          <w:trHeight w:val="900" w:hRule="atLeast"/>
        </w:trPr>
        <w:tc>
          <w:tcPr>
            <w:tcW w:w="340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课程名称</w:t>
            </w:r>
          </w:p>
        </w:tc>
        <w:tc>
          <w:tcPr>
            <w:tcW w:w="103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学分</w:t>
            </w:r>
          </w:p>
        </w:tc>
        <w:tc>
          <w:tcPr>
            <w:tcW w:w="112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周学时</w:t>
            </w:r>
          </w:p>
        </w:tc>
        <w:tc>
          <w:tcPr>
            <w:tcW w:w="112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修读要求</w:t>
            </w:r>
          </w:p>
        </w:tc>
        <w:tc>
          <w:tcPr>
            <w:tcW w:w="172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课程代码</w:t>
            </w:r>
          </w:p>
        </w:tc>
        <w:tc>
          <w:tcPr>
            <w:tcW w:w="86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含实践学分</w:t>
            </w:r>
          </w:p>
        </w:tc>
        <w:tc>
          <w:tcPr>
            <w:tcW w:w="101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含美育学分</w:t>
            </w:r>
          </w:p>
        </w:tc>
        <w:tc>
          <w:tcPr>
            <w:tcW w:w="99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含劳动教育总学时</w:t>
            </w:r>
          </w:p>
        </w:tc>
        <w:tc>
          <w:tcPr>
            <w:tcW w:w="74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开课学期</w:t>
            </w:r>
          </w:p>
        </w:tc>
        <w:tc>
          <w:tcPr>
            <w:tcW w:w="161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研究生课程类别</w:t>
            </w:r>
          </w:p>
        </w:tc>
        <w:tc>
          <w:tcPr>
            <w:tcW w:w="224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备注</w:t>
            </w:r>
          </w:p>
        </w:tc>
      </w:tr>
      <w:tr>
        <w:trPr>
          <w:trHeight w:val="270" w:hRule="atLeast"/>
        </w:trPr>
        <w:tc>
          <w:tcPr>
            <w:tcW w:w="340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高等数学A(上)</w:t>
            </w:r>
          </w:p>
        </w:tc>
        <w:tc>
          <w:tcPr>
            <w:tcW w:w="103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5</w:t>
            </w:r>
          </w:p>
        </w:tc>
        <w:tc>
          <w:tcPr>
            <w:tcW w:w="112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5+1</w:t>
            </w:r>
          </w:p>
        </w:tc>
        <w:tc>
          <w:tcPr>
            <w:tcW w:w="112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w:t>
            </w:r>
          </w:p>
        </w:tc>
        <w:tc>
          <w:tcPr>
            <w:tcW w:w="172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MATH120021</w:t>
            </w:r>
          </w:p>
        </w:tc>
        <w:tc>
          <w:tcPr>
            <w:tcW w:w="86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w:t>
            </w:r>
          </w:p>
        </w:tc>
        <w:tc>
          <w:tcPr>
            <w:tcW w:w="1014" w:type="dxa"/>
            <w:tcBorders>
              <w:bottom w:val="single" w:color="000000" w:sz="8"/>
              <w:right w:val="single" w:color="000000" w:sz="8"/>
            </w:tcBorders>
            <w:tcMar>
              <w:top w:w="15" w:type="dxa"/>
              <w:left w:w="15" w:type="dxa"/>
              <w:bottom w:w="15" w:type="dxa"/>
              <w:right w:w="15" w:type="dxa"/>
            </w:tcMar>
            <w:vAlign w:val="center"/>
          </w:tcPr>
          <w:p/>
        </w:tc>
        <w:tc>
          <w:tcPr>
            <w:tcW w:w="991" w:type="dxa"/>
            <w:tcBorders>
              <w:bottom w:val="single" w:color="000000" w:sz="8"/>
              <w:right w:val="single" w:color="000000" w:sz="8"/>
            </w:tcBorders>
            <w:tcMar>
              <w:top w:w="15" w:type="dxa"/>
              <w:left w:w="15" w:type="dxa"/>
              <w:bottom w:w="15" w:type="dxa"/>
              <w:right w:w="15" w:type="dxa"/>
            </w:tcMar>
            <w:vAlign w:val="center"/>
          </w:tcPr>
          <w:p/>
        </w:tc>
        <w:tc>
          <w:tcPr>
            <w:tcW w:w="74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w:t>
            </w:r>
          </w:p>
        </w:tc>
        <w:tc>
          <w:tcPr>
            <w:tcW w:w="161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241" w:type="dxa"/>
            <w:tcBorders>
              <w:bottom w:val="single" w:color="000000" w:sz="8"/>
              <w:right w:val="single" w:color="000000" w:sz="8"/>
            </w:tcBorders>
            <w:tcMar>
              <w:top w:w="15" w:type="dxa"/>
              <w:left w:w="15" w:type="dxa"/>
              <w:bottom w:w="15" w:type="dxa"/>
              <w:right w:w="15" w:type="dxa"/>
            </w:tcMar>
            <w:vAlign w:val="center"/>
          </w:tcPr>
          <w:p/>
        </w:tc>
      </w:tr>
      <w:tr>
        <w:trPr>
          <w:trHeight w:val="270" w:hRule="atLeast"/>
        </w:trPr>
        <w:tc>
          <w:tcPr>
            <w:tcW w:w="340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高等数学A(下)</w:t>
            </w:r>
          </w:p>
        </w:tc>
        <w:tc>
          <w:tcPr>
            <w:tcW w:w="103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5</w:t>
            </w:r>
          </w:p>
        </w:tc>
        <w:tc>
          <w:tcPr>
            <w:tcW w:w="112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5+1</w:t>
            </w:r>
          </w:p>
        </w:tc>
        <w:tc>
          <w:tcPr>
            <w:tcW w:w="112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w:t>
            </w:r>
          </w:p>
        </w:tc>
        <w:tc>
          <w:tcPr>
            <w:tcW w:w="172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MATH120022</w:t>
            </w:r>
          </w:p>
        </w:tc>
        <w:tc>
          <w:tcPr>
            <w:tcW w:w="86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w:t>
            </w:r>
          </w:p>
        </w:tc>
        <w:tc>
          <w:tcPr>
            <w:tcW w:w="1014" w:type="dxa"/>
            <w:tcBorders>
              <w:bottom w:val="single" w:color="000000" w:sz="8"/>
              <w:right w:val="single" w:color="000000" w:sz="8"/>
            </w:tcBorders>
            <w:tcMar>
              <w:top w:w="15" w:type="dxa"/>
              <w:left w:w="15" w:type="dxa"/>
              <w:bottom w:w="15" w:type="dxa"/>
              <w:right w:w="15" w:type="dxa"/>
            </w:tcMar>
            <w:vAlign w:val="center"/>
          </w:tcPr>
          <w:p/>
        </w:tc>
        <w:tc>
          <w:tcPr>
            <w:tcW w:w="991" w:type="dxa"/>
            <w:tcBorders>
              <w:bottom w:val="single" w:color="000000" w:sz="8"/>
              <w:right w:val="single" w:color="000000" w:sz="8"/>
            </w:tcBorders>
            <w:tcMar>
              <w:top w:w="15" w:type="dxa"/>
              <w:left w:w="15" w:type="dxa"/>
              <w:bottom w:w="15" w:type="dxa"/>
              <w:right w:w="15" w:type="dxa"/>
            </w:tcMar>
            <w:vAlign w:val="center"/>
          </w:tcPr>
          <w:p/>
        </w:tc>
        <w:tc>
          <w:tcPr>
            <w:tcW w:w="74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161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241" w:type="dxa"/>
            <w:tcBorders>
              <w:bottom w:val="single" w:color="000000" w:sz="8"/>
              <w:right w:val="single" w:color="000000" w:sz="8"/>
            </w:tcBorders>
            <w:tcMar>
              <w:top w:w="15" w:type="dxa"/>
              <w:left w:w="15" w:type="dxa"/>
              <w:bottom w:w="15" w:type="dxa"/>
              <w:right w:w="15" w:type="dxa"/>
            </w:tcMar>
            <w:vAlign w:val="center"/>
          </w:tcPr>
          <w:p/>
        </w:tc>
      </w:tr>
      <w:tr>
        <w:trPr>
          <w:trHeight w:val="270" w:hRule="atLeast"/>
        </w:trPr>
        <w:tc>
          <w:tcPr>
            <w:tcW w:w="340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普通物理B</w:t>
            </w:r>
          </w:p>
        </w:tc>
        <w:tc>
          <w:tcPr>
            <w:tcW w:w="103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w:t>
            </w:r>
          </w:p>
        </w:tc>
        <w:tc>
          <w:tcPr>
            <w:tcW w:w="112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3+1</w:t>
            </w:r>
          </w:p>
        </w:tc>
        <w:tc>
          <w:tcPr>
            <w:tcW w:w="112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w:t>
            </w:r>
          </w:p>
        </w:tc>
        <w:tc>
          <w:tcPr>
            <w:tcW w:w="172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PHYS10002</w:t>
            </w:r>
          </w:p>
        </w:tc>
        <w:tc>
          <w:tcPr>
            <w:tcW w:w="869" w:type="dxa"/>
            <w:tcBorders>
              <w:bottom w:val="single" w:color="000000" w:sz="8"/>
              <w:right w:val="single" w:color="000000" w:sz="8"/>
            </w:tcBorders>
            <w:tcMar>
              <w:top w:w="15" w:type="dxa"/>
              <w:left w:w="15" w:type="dxa"/>
              <w:bottom w:w="15" w:type="dxa"/>
              <w:right w:w="15" w:type="dxa"/>
            </w:tcMar>
            <w:vAlign w:val="center"/>
          </w:tcPr>
          <w:p/>
        </w:tc>
        <w:tc>
          <w:tcPr>
            <w:tcW w:w="1014" w:type="dxa"/>
            <w:tcBorders>
              <w:bottom w:val="single" w:color="000000" w:sz="8"/>
              <w:right w:val="single" w:color="000000" w:sz="8"/>
            </w:tcBorders>
            <w:tcMar>
              <w:top w:w="15" w:type="dxa"/>
              <w:left w:w="15" w:type="dxa"/>
              <w:bottom w:w="15" w:type="dxa"/>
              <w:right w:w="15" w:type="dxa"/>
            </w:tcMar>
            <w:vAlign w:val="center"/>
          </w:tcPr>
          <w:p/>
        </w:tc>
        <w:tc>
          <w:tcPr>
            <w:tcW w:w="991" w:type="dxa"/>
            <w:tcBorders>
              <w:bottom w:val="single" w:color="000000" w:sz="8"/>
              <w:right w:val="single" w:color="000000" w:sz="8"/>
            </w:tcBorders>
            <w:tcMar>
              <w:top w:w="15" w:type="dxa"/>
              <w:left w:w="15" w:type="dxa"/>
              <w:bottom w:w="15" w:type="dxa"/>
              <w:right w:w="15" w:type="dxa"/>
            </w:tcMar>
            <w:vAlign w:val="center"/>
          </w:tcPr>
          <w:p/>
        </w:tc>
        <w:tc>
          <w:tcPr>
            <w:tcW w:w="74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161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241" w:type="dxa"/>
            <w:tcBorders>
              <w:bottom w:val="single" w:color="000000" w:sz="8"/>
              <w:right w:val="single" w:color="000000" w:sz="8"/>
            </w:tcBorders>
            <w:tcMar>
              <w:top w:w="15" w:type="dxa"/>
              <w:left w:w="15" w:type="dxa"/>
              <w:bottom w:w="15" w:type="dxa"/>
              <w:right w:w="15" w:type="dxa"/>
            </w:tcMar>
            <w:vAlign w:val="center"/>
          </w:tcPr>
          <w:p/>
        </w:tc>
      </w:tr>
      <w:tr>
        <w:trPr>
          <w:trHeight w:val="270" w:hRule="atLeast"/>
        </w:trPr>
        <w:tc>
          <w:tcPr>
            <w:tcW w:w="340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程序设计</w:t>
            </w:r>
          </w:p>
        </w:tc>
        <w:tc>
          <w:tcPr>
            <w:tcW w:w="103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4</w:t>
            </w:r>
          </w:p>
        </w:tc>
        <w:tc>
          <w:tcPr>
            <w:tcW w:w="112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3+2</w:t>
            </w:r>
          </w:p>
        </w:tc>
        <w:tc>
          <w:tcPr>
            <w:tcW w:w="112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w:t>
            </w:r>
          </w:p>
        </w:tc>
        <w:tc>
          <w:tcPr>
            <w:tcW w:w="172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CS1004</w:t>
            </w:r>
          </w:p>
        </w:tc>
        <w:tc>
          <w:tcPr>
            <w:tcW w:w="86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1014" w:type="dxa"/>
            <w:tcBorders>
              <w:bottom w:val="single" w:color="000000" w:sz="8"/>
              <w:right w:val="single" w:color="000000" w:sz="8"/>
            </w:tcBorders>
            <w:tcMar>
              <w:top w:w="15" w:type="dxa"/>
              <w:left w:w="15" w:type="dxa"/>
              <w:bottom w:w="15" w:type="dxa"/>
              <w:right w:w="15" w:type="dxa"/>
            </w:tcMar>
            <w:vAlign w:val="center"/>
          </w:tcPr>
          <w:p/>
        </w:tc>
        <w:tc>
          <w:tcPr>
            <w:tcW w:w="991" w:type="dxa"/>
            <w:tcBorders>
              <w:bottom w:val="single" w:color="000000" w:sz="8"/>
              <w:right w:val="single" w:color="000000" w:sz="8"/>
            </w:tcBorders>
            <w:tcMar>
              <w:top w:w="15" w:type="dxa"/>
              <w:left w:w="15" w:type="dxa"/>
              <w:bottom w:w="15" w:type="dxa"/>
              <w:right w:w="15" w:type="dxa"/>
            </w:tcMar>
            <w:vAlign w:val="center"/>
          </w:tcPr>
          <w:p/>
        </w:tc>
        <w:tc>
          <w:tcPr>
            <w:tcW w:w="74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w:t>
            </w:r>
          </w:p>
        </w:tc>
        <w:tc>
          <w:tcPr>
            <w:tcW w:w="161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241" w:type="dxa"/>
            <w:tcBorders>
              <w:bottom w:val="single" w:color="000000" w:sz="8"/>
              <w:right w:val="single" w:color="000000" w:sz="8"/>
            </w:tcBorders>
            <w:tcMar>
              <w:top w:w="15" w:type="dxa"/>
              <w:left w:w="15" w:type="dxa"/>
              <w:bottom w:w="15" w:type="dxa"/>
              <w:right w:w="15" w:type="dxa"/>
            </w:tcMar>
            <w:vAlign w:val="center"/>
          </w:tcPr>
          <w:p/>
        </w:tc>
      </w:tr>
      <w:tr>
        <w:trPr>
          <w:trHeight w:val="270" w:hRule="atLeast"/>
        </w:trPr>
        <w:tc>
          <w:tcPr>
            <w:tcW w:w="340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线性代数</w:t>
            </w:r>
          </w:p>
        </w:tc>
        <w:tc>
          <w:tcPr>
            <w:tcW w:w="103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w:t>
            </w:r>
          </w:p>
        </w:tc>
        <w:tc>
          <w:tcPr>
            <w:tcW w:w="112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4</w:t>
            </w:r>
          </w:p>
        </w:tc>
        <w:tc>
          <w:tcPr>
            <w:tcW w:w="112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w:t>
            </w:r>
          </w:p>
        </w:tc>
        <w:tc>
          <w:tcPr>
            <w:tcW w:w="172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CS10003</w:t>
            </w:r>
          </w:p>
        </w:tc>
        <w:tc>
          <w:tcPr>
            <w:tcW w:w="869" w:type="dxa"/>
            <w:tcBorders>
              <w:bottom w:val="single" w:color="000000" w:sz="8"/>
              <w:right w:val="single" w:color="000000" w:sz="8"/>
            </w:tcBorders>
            <w:tcMar>
              <w:top w:w="15" w:type="dxa"/>
              <w:left w:w="15" w:type="dxa"/>
              <w:bottom w:w="15" w:type="dxa"/>
              <w:right w:w="15" w:type="dxa"/>
            </w:tcMar>
            <w:vAlign w:val="center"/>
          </w:tcPr>
          <w:p/>
        </w:tc>
        <w:tc>
          <w:tcPr>
            <w:tcW w:w="1014" w:type="dxa"/>
            <w:tcBorders>
              <w:bottom w:val="single" w:color="000000" w:sz="8"/>
              <w:right w:val="single" w:color="000000" w:sz="8"/>
            </w:tcBorders>
            <w:tcMar>
              <w:top w:w="15" w:type="dxa"/>
              <w:left w:w="15" w:type="dxa"/>
              <w:bottom w:w="15" w:type="dxa"/>
              <w:right w:w="15" w:type="dxa"/>
            </w:tcMar>
            <w:vAlign w:val="center"/>
          </w:tcPr>
          <w:p/>
        </w:tc>
        <w:tc>
          <w:tcPr>
            <w:tcW w:w="991" w:type="dxa"/>
            <w:tcBorders>
              <w:bottom w:val="single" w:color="000000" w:sz="8"/>
              <w:right w:val="single" w:color="000000" w:sz="8"/>
            </w:tcBorders>
            <w:tcMar>
              <w:top w:w="15" w:type="dxa"/>
              <w:left w:w="15" w:type="dxa"/>
              <w:bottom w:w="15" w:type="dxa"/>
              <w:right w:w="15" w:type="dxa"/>
            </w:tcMar>
            <w:vAlign w:val="center"/>
          </w:tcPr>
          <w:p/>
        </w:tc>
        <w:tc>
          <w:tcPr>
            <w:tcW w:w="74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w:t>
            </w:r>
          </w:p>
        </w:tc>
        <w:tc>
          <w:tcPr>
            <w:tcW w:w="161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241" w:type="dxa"/>
            <w:tcBorders>
              <w:bottom w:val="single" w:color="000000" w:sz="8"/>
              <w:right w:val="single" w:color="000000" w:sz="8"/>
            </w:tcBorders>
            <w:tcMar>
              <w:top w:w="15" w:type="dxa"/>
              <w:left w:w="15" w:type="dxa"/>
              <w:bottom w:w="15" w:type="dxa"/>
              <w:right w:w="15" w:type="dxa"/>
            </w:tcMar>
            <w:vAlign w:val="center"/>
          </w:tcPr>
          <w:p/>
        </w:tc>
      </w:tr>
    </w:tbl>
    <w:p>
      <w:pPr>
        <w:spacing w:after="0"/>
        <w:ind w:left="0"/>
        <w:jc w:val="left"/>
      </w:pP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（41学分,本科要求41学分）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（28学分,本科要求26学分）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 28 学分，含思想政治理论课21学分（其中研究生学位课2学分），七大模块课程6学分(每模块≤1门)，并且不能修读第五模块，其中美育学分不少于2学分，大学生国家安全教育1学分。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（13学分,本科要求11学分）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（90学分）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（20学分,本科要求20学分）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工学基础课程</w:t>
      </w:r>
      <w:r>
        <w:rPr>
          <w:rFonts w:ascii="SimSun" w:hAnsi="SimSun"/>
          <w:b/>
          <w:i w:val="false"/>
          <w:color w:val="000000"/>
          <w:sz w:val="21"/>
        </w:rPr>
        <w:t>（20学分,本科要求20学分）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高等数学A(上）</w:t>
            </w:r>
            <w:r>
              <w:br/>
            </w:r>
            <w:r>
              <w:br/>
            </w:r>
            <w:r>
              <w:rPr>
                <w:rFonts w:ascii="SimSun" w:hAnsi="SimSun"/>
                <w:b w:val="false"/>
                <w:i w:val="false"/>
                <w:color w:val="000000"/>
                <w:sz w:val="21"/>
              </w:rPr>
              <w:t>Advanced Mathematics A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高等数学A(下）</w:t>
            </w:r>
            <w:r>
              <w:br/>
            </w:r>
            <w:r>
              <w:br/>
            </w:r>
            <w:r>
              <w:rPr>
                <w:rFonts w:ascii="SimSun" w:hAnsi="SimSun"/>
                <w:b w:val="false"/>
                <w:i w:val="false"/>
                <w:color w:val="000000"/>
                <w:sz w:val="21"/>
              </w:rPr>
              <w:t>Advanced Mathematics A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w:t>
            </w:r>
            <w:r>
              <w:br/>
            </w:r>
            <w:r>
              <w:br/>
            </w:r>
            <w:r>
              <w:rPr>
                <w:rFonts w:ascii="SimSun" w:hAnsi="SimSun"/>
                <w:b w:val="false"/>
                <w:i w:val="false"/>
                <w:color w:val="000000"/>
                <w:sz w:val="21"/>
              </w:rPr>
              <w:t>Linear Algebra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程序设计</w:t>
            </w:r>
            <w:r>
              <w:br/>
            </w:r>
            <w:r>
              <w:br/>
            </w:r>
            <w:r>
              <w:rPr>
                <w:rFonts w:ascii="SimSun" w:hAnsi="SimSun"/>
                <w:b w:val="false"/>
                <w:i w:val="false"/>
                <w:color w:val="000000"/>
                <w:sz w:val="21"/>
              </w:rPr>
              <w:t>Programming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普通物理B</w:t>
            </w:r>
            <w:r>
              <w:br/>
            </w:r>
            <w:r>
              <w:br/>
            </w:r>
            <w:r>
              <w:rPr>
                <w:rFonts w:ascii="SimSun" w:hAnsi="SimSun"/>
                <w:b w:val="false"/>
                <w:i w:val="false"/>
                <w:color w:val="000000"/>
                <w:sz w:val="21"/>
              </w:rPr>
              <w:t>General Physics B</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（70学分,本科要求61学分）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12"/>
        <w:gridCol w:w="802"/>
        <w:gridCol w:w="802"/>
        <w:gridCol w:w="1124"/>
        <w:gridCol w:w="1750"/>
        <w:gridCol w:w="803"/>
        <w:gridCol w:w="803"/>
        <w:gridCol w:w="803"/>
        <w:gridCol w:w="803"/>
        <w:gridCol w:w="1124"/>
        <w:gridCol w:w="1608"/>
      </w:tblGrid>
      <w:tr>
        <w:trPr>
          <w:trHeight w:val="45" w:hRule="atLeast"/>
        </w:trPr>
        <w:tc>
          <w:tcPr>
            <w:tcW w:w="32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数字逻辑与部件设计</w:t>
            </w:r>
            <w:r>
              <w:br/>
            </w:r>
            <w:r>
              <w:br/>
            </w:r>
            <w:r>
              <w:rPr>
                <w:rFonts w:ascii="SimSun" w:hAnsi="SimSun"/>
                <w:b w:val="false"/>
                <w:i w:val="false"/>
                <w:color w:val="000000"/>
                <w:sz w:val="21"/>
              </w:rPr>
              <w:t>Digital Logic and Component Design</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CS20008</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数据结构（H）</w:t>
            </w:r>
            <w:r>
              <w:br/>
            </w:r>
            <w:r>
              <w:br/>
            </w:r>
            <w:r>
              <w:rPr>
                <w:rFonts w:ascii="SimSun" w:hAnsi="SimSun"/>
                <w:b w:val="false"/>
                <w:i w:val="false"/>
                <w:color w:val="000000"/>
                <w:sz w:val="21"/>
              </w:rPr>
              <w:t>Data Structure (H)</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CS20009h</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概率论与数理统计</w:t>
            </w:r>
            <w:r>
              <w:br/>
            </w:r>
            <w:r>
              <w:br/>
            </w:r>
            <w:r>
              <w:rPr>
                <w:rFonts w:ascii="SimSun" w:hAnsi="SimSun"/>
                <w:b w:val="false"/>
                <w:i w:val="false"/>
                <w:color w:val="000000"/>
                <w:sz w:val="21"/>
              </w:rPr>
              <w:t>Probability Theory and Mathematic Statistics</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STAT30001</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集合与图论（H）</w:t>
            </w:r>
            <w:r>
              <w:br/>
            </w:r>
            <w:r>
              <w:br/>
            </w:r>
            <w:r>
              <w:rPr>
                <w:rFonts w:ascii="SimSun" w:hAnsi="SimSun"/>
                <w:b w:val="false"/>
                <w:i w:val="false"/>
                <w:color w:val="000000"/>
                <w:sz w:val="21"/>
              </w:rPr>
              <w:t>Set Theory and Graph Theory (H)</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CS30043h</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计算机系统基础</w:t>
            </w:r>
            <w:r>
              <w:br/>
            </w:r>
            <w:r>
              <w:br/>
            </w:r>
            <w:r>
              <w:rPr>
                <w:rFonts w:ascii="SimSun" w:hAnsi="SimSun"/>
                <w:b w:val="false"/>
                <w:i w:val="false"/>
                <w:color w:val="000000"/>
                <w:sz w:val="21"/>
              </w:rPr>
              <w:t>Principles of Computer System</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CS10005</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代数结构与数理逻辑</w:t>
            </w:r>
            <w:r>
              <w:br/>
            </w:r>
            <w:r>
              <w:br/>
            </w:r>
            <w:r>
              <w:rPr>
                <w:rFonts w:ascii="SimSun" w:hAnsi="SimSun"/>
                <w:b w:val="false"/>
                <w:i w:val="false"/>
                <w:color w:val="000000"/>
                <w:sz w:val="21"/>
              </w:rPr>
              <w:t>Algebra Structure and Mathematical Logic</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CS30015</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算法设计与分析(H)</w:t>
            </w:r>
            <w:r>
              <w:br/>
            </w:r>
            <w:r>
              <w:br/>
            </w:r>
            <w:r>
              <w:rPr>
                <w:rFonts w:ascii="SimSun" w:hAnsi="SimSun"/>
                <w:b w:val="false"/>
                <w:i w:val="false"/>
                <w:color w:val="000000"/>
                <w:sz w:val="21"/>
              </w:rPr>
              <w:t>The Design and Analysis of Algorithm(H)</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CS30016h</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计算机组成与体系结构（H）</w:t>
            </w:r>
            <w:r>
              <w:br/>
            </w:r>
            <w:r>
              <w:br/>
            </w:r>
            <w:r>
              <w:rPr>
                <w:rFonts w:ascii="SimSun" w:hAnsi="SimSun"/>
                <w:b w:val="false"/>
                <w:i w:val="false"/>
                <w:color w:val="000000"/>
                <w:sz w:val="21"/>
              </w:rPr>
              <w:t>Computer Organization and Architecture(H)</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CS30052h</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数据库系统（H）</w:t>
            </w:r>
            <w:r>
              <w:br/>
            </w:r>
            <w:r>
              <w:br/>
            </w:r>
            <w:r>
              <w:rPr>
                <w:rFonts w:ascii="SimSun" w:hAnsi="SimSun"/>
                <w:b w:val="false"/>
                <w:i w:val="false"/>
                <w:color w:val="000000"/>
                <w:sz w:val="21"/>
              </w:rPr>
              <w:t>Database Systems (H)</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CS20001h</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人工智能导论（H）</w:t>
            </w:r>
            <w:r>
              <w:br/>
            </w:r>
            <w:r>
              <w:br/>
            </w:r>
            <w:r>
              <w:rPr>
                <w:rFonts w:ascii="SimSun" w:hAnsi="SimSun"/>
                <w:b w:val="false"/>
                <w:i w:val="false"/>
                <w:color w:val="000000"/>
                <w:sz w:val="21"/>
              </w:rPr>
              <w:t>Introduction to Artificial Intelligence (H)</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AIE310005h</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计算理论基础</w:t>
            </w:r>
            <w:r>
              <w:br/>
            </w:r>
            <w:r>
              <w:br/>
            </w:r>
            <w:r>
              <w:rPr>
                <w:rFonts w:ascii="SimSun" w:hAnsi="SimSun"/>
                <w:b w:val="false"/>
                <w:i w:val="false"/>
                <w:color w:val="000000"/>
                <w:sz w:val="21"/>
              </w:rPr>
              <w:t>Fundamentals of Computation Theory</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CS30021</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操作系统（H）</w:t>
            </w:r>
            <w:r>
              <w:br/>
            </w:r>
            <w:r>
              <w:br/>
            </w:r>
            <w:r>
              <w:rPr>
                <w:rFonts w:ascii="SimSun" w:hAnsi="SimSun"/>
                <w:b w:val="false"/>
                <w:i w:val="false"/>
                <w:color w:val="000000"/>
                <w:sz w:val="21"/>
              </w:rPr>
              <w:t>Operating Systems(H)</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CS30031h</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计算机网络(H)</w:t>
            </w:r>
            <w:r>
              <w:br/>
            </w:r>
            <w:r>
              <w:br/>
            </w:r>
            <w:r>
              <w:rPr>
                <w:rFonts w:ascii="SimSun" w:hAnsi="SimSun"/>
                <w:b w:val="false"/>
                <w:i w:val="false"/>
                <w:color w:val="000000"/>
                <w:sz w:val="21"/>
              </w:rPr>
              <w:t>Computer Networks(H)</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CS30036h</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编译(H)</w:t>
            </w:r>
            <w:r>
              <w:br/>
            </w:r>
            <w:r>
              <w:br/>
            </w:r>
            <w:r>
              <w:rPr>
                <w:rFonts w:ascii="SimSun" w:hAnsi="SimSun"/>
                <w:b w:val="false"/>
                <w:i w:val="false"/>
                <w:color w:val="000000"/>
                <w:sz w:val="21"/>
              </w:rPr>
              <w:t>Compilers(H)</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CS30017h</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软件工程（H）</w:t>
            </w:r>
            <w:r>
              <w:br/>
            </w:r>
            <w:r>
              <w:br/>
            </w:r>
            <w:r>
              <w:rPr>
                <w:rFonts w:ascii="SimSun" w:hAnsi="SimSun"/>
                <w:b w:val="false"/>
                <w:i w:val="false"/>
                <w:color w:val="000000"/>
                <w:sz w:val="21"/>
              </w:rPr>
              <w:t>Software Engineering(H)</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CS20020h</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高级人工智能</w:t>
            </w:r>
            <w:r>
              <w:br/>
            </w:r>
            <w:r>
              <w:br/>
            </w:r>
            <w:r>
              <w:rPr>
                <w:rFonts w:ascii="SimSun" w:hAnsi="SimSun"/>
                <w:b w:val="false"/>
                <w:i w:val="false"/>
                <w:color w:val="000000"/>
                <w:sz w:val="21"/>
              </w:rPr>
              <w:t>Advanced Artificial Intelligence</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CS40002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分布式系统</w:t>
            </w:r>
            <w:r>
              <w:br/>
            </w:r>
            <w:r>
              <w:br/>
            </w:r>
            <w:r>
              <w:rPr>
                <w:rFonts w:ascii="SimSun" w:hAnsi="SimSun"/>
                <w:b w:val="false"/>
                <w:i w:val="false"/>
                <w:color w:val="000000"/>
                <w:sz w:val="21"/>
              </w:rPr>
              <w:t>Distributed Systems</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CS30033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计算机安全原理与实践</w:t>
            </w:r>
            <w:r>
              <w:br/>
            </w:r>
            <w:r>
              <w:br/>
            </w:r>
            <w:r>
              <w:rPr>
                <w:rFonts w:ascii="SimSun" w:hAnsi="SimSun"/>
                <w:b w:val="false"/>
                <w:i w:val="false"/>
                <w:color w:val="000000"/>
                <w:sz w:val="21"/>
              </w:rPr>
              <w:t>Computer Security Principle and Practice</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CSEC50002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科学研究概述与思维方法</w:t>
            </w:r>
            <w:r>
              <w:br/>
            </w:r>
            <w:r>
              <w:br/>
            </w:r>
            <w:r>
              <w:rPr>
                <w:rFonts w:ascii="SimSun" w:hAnsi="SimSun"/>
                <w:b w:val="false"/>
                <w:i w:val="false"/>
                <w:color w:val="000000"/>
                <w:sz w:val="21"/>
              </w:rPr>
              <w:t>Methods of Scientific Research and Thinking</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5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CS50015</w:t>
            </w: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专业选修课</w:t>
      </w:r>
      <w:r>
        <w:rPr>
          <w:rFonts w:ascii="SimSun" w:hAnsi="SimSun"/>
          <w:b/>
          <w:i w:val="false"/>
          <w:color w:val="000000"/>
          <w:sz w:val="21"/>
        </w:rPr>
        <w:t>（10学分,本科要求10学分）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2783"/>
        <w:gridCol w:w="695"/>
        <w:gridCol w:w="695"/>
        <w:gridCol w:w="974"/>
        <w:gridCol w:w="1614"/>
        <w:gridCol w:w="695"/>
        <w:gridCol w:w="695"/>
        <w:gridCol w:w="695"/>
        <w:gridCol w:w="1685"/>
        <w:gridCol w:w="975"/>
        <w:gridCol w:w="2128"/>
      </w:tblGrid>
      <w:tr>
        <w:trPr>
          <w:trHeight w:val="45" w:hRule="atLeast"/>
        </w:trPr>
        <w:tc>
          <w:tcPr>
            <w:tcW w:w="27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6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6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9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6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6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6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16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9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212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27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数学分析BⅠ</w:t>
            </w:r>
            <w:r>
              <w:br/>
            </w:r>
            <w:r>
              <w:br/>
            </w:r>
            <w:r>
              <w:rPr>
                <w:rFonts w:ascii="SimSun" w:hAnsi="SimSun"/>
                <w:b w:val="false"/>
                <w:i w:val="false"/>
                <w:color w:val="000000"/>
                <w:sz w:val="21"/>
              </w:rPr>
              <w:t>Mathematical Analysis BⅠ</w:t>
            </w:r>
          </w:p>
        </w:tc>
        <w:tc>
          <w:tcPr>
            <w:tcW w:w="6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6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9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MATH10012</w:t>
            </w:r>
          </w:p>
        </w:tc>
        <w:tc>
          <w:tcPr>
            <w:tcW w:w="6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6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9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212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可以替代《高等数学A(上)》</w:t>
            </w:r>
          </w:p>
        </w:tc>
      </w:tr>
      <w:tr>
        <w:trPr>
          <w:trHeight w:val="45" w:hRule="atLeast"/>
        </w:trPr>
        <w:tc>
          <w:tcPr>
            <w:tcW w:w="27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数学分析BⅡ</w:t>
            </w:r>
            <w:r>
              <w:br/>
            </w:r>
            <w:r>
              <w:br/>
            </w:r>
            <w:r>
              <w:rPr>
                <w:rFonts w:ascii="SimSun" w:hAnsi="SimSun"/>
                <w:b w:val="false"/>
                <w:i w:val="false"/>
                <w:color w:val="000000"/>
                <w:sz w:val="21"/>
              </w:rPr>
              <w:t>Mathematical Analysis BⅡ</w:t>
            </w:r>
          </w:p>
        </w:tc>
        <w:tc>
          <w:tcPr>
            <w:tcW w:w="6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6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9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MATH10013</w:t>
            </w:r>
          </w:p>
        </w:tc>
        <w:tc>
          <w:tcPr>
            <w:tcW w:w="6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6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9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212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可以替代《高等数学A(下)》</w:t>
            </w:r>
          </w:p>
        </w:tc>
      </w:tr>
      <w:tr>
        <w:trPr>
          <w:trHeight w:val="45" w:hRule="atLeast"/>
        </w:trPr>
        <w:tc>
          <w:tcPr>
            <w:tcW w:w="27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面向对象程序设计</w:t>
            </w:r>
            <w:r>
              <w:br/>
            </w:r>
            <w:r>
              <w:br/>
            </w:r>
            <w:r>
              <w:rPr>
                <w:rFonts w:ascii="SimSun" w:hAnsi="SimSun"/>
                <w:b w:val="false"/>
                <w:i w:val="false"/>
                <w:color w:val="000000"/>
                <w:sz w:val="21"/>
              </w:rPr>
              <w:t>Object Oriented Programming</w:t>
            </w:r>
          </w:p>
        </w:tc>
        <w:tc>
          <w:tcPr>
            <w:tcW w:w="6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CS20012</w:t>
            </w:r>
          </w:p>
        </w:tc>
        <w:tc>
          <w:tcPr>
            <w:tcW w:w="6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6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9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212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7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网络存储导论</w:t>
            </w:r>
            <w:r>
              <w:br/>
            </w:r>
            <w:r>
              <w:br/>
            </w:r>
            <w:r>
              <w:rPr>
                <w:rFonts w:ascii="SimSun" w:hAnsi="SimSun"/>
                <w:b w:val="false"/>
                <w:i w:val="false"/>
                <w:color w:val="000000"/>
                <w:sz w:val="21"/>
              </w:rPr>
              <w:t>Introduction of Network Storage</w:t>
            </w:r>
          </w:p>
        </w:tc>
        <w:tc>
          <w:tcPr>
            <w:tcW w:w="6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CS20011</w:t>
            </w:r>
          </w:p>
        </w:tc>
        <w:tc>
          <w:tcPr>
            <w:tcW w:w="6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6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9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212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7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自然语言处理与大语言模型</w:t>
            </w:r>
            <w:r>
              <w:br/>
            </w:r>
            <w:r>
              <w:br/>
            </w:r>
            <w:r>
              <w:rPr>
                <w:rFonts w:ascii="SimSun" w:hAnsi="SimSun"/>
                <w:b w:val="false"/>
                <w:i w:val="false"/>
                <w:color w:val="000000"/>
                <w:sz w:val="21"/>
              </w:rPr>
              <w:t>Natural Language Processing and Large Language Models</w:t>
            </w:r>
          </w:p>
        </w:tc>
        <w:tc>
          <w:tcPr>
            <w:tcW w:w="6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AIE410002</w:t>
            </w:r>
          </w:p>
        </w:tc>
        <w:tc>
          <w:tcPr>
            <w:tcW w:w="6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6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9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212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7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计算机视觉</w:t>
            </w:r>
            <w:r>
              <w:br/>
            </w:r>
            <w:r>
              <w:br/>
            </w:r>
            <w:r>
              <w:rPr>
                <w:rFonts w:ascii="SimSun" w:hAnsi="SimSun"/>
                <w:b w:val="false"/>
                <w:i w:val="false"/>
                <w:color w:val="000000"/>
                <w:sz w:val="21"/>
              </w:rPr>
              <w:t>Computer Vision</w:t>
            </w:r>
          </w:p>
        </w:tc>
        <w:tc>
          <w:tcPr>
            <w:tcW w:w="6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CS30034</w:t>
            </w:r>
          </w:p>
        </w:tc>
        <w:tc>
          <w:tcPr>
            <w:tcW w:w="6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6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9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212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7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模式识别与机器学习</w:t>
            </w:r>
            <w:r>
              <w:br/>
            </w:r>
            <w:r>
              <w:br/>
            </w:r>
            <w:r>
              <w:rPr>
                <w:rFonts w:ascii="SimSun" w:hAnsi="SimSun"/>
                <w:b w:val="false"/>
                <w:i w:val="false"/>
                <w:color w:val="000000"/>
                <w:sz w:val="21"/>
              </w:rPr>
              <w:t>Pattern Recognition &amp; Machine Learning</w:t>
            </w:r>
          </w:p>
        </w:tc>
        <w:tc>
          <w:tcPr>
            <w:tcW w:w="6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CS30037</w:t>
            </w:r>
          </w:p>
        </w:tc>
        <w:tc>
          <w:tcPr>
            <w:tcW w:w="6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6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9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212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7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编程方法与技术</w:t>
            </w:r>
            <w:r>
              <w:br/>
            </w:r>
            <w:r>
              <w:br/>
            </w:r>
            <w:r>
              <w:rPr>
                <w:rFonts w:ascii="SimSun" w:hAnsi="SimSun"/>
                <w:b w:val="false"/>
                <w:i w:val="false"/>
                <w:color w:val="000000"/>
                <w:sz w:val="21"/>
              </w:rPr>
              <w:t>Computer Programming: Methods and Techniques</w:t>
            </w:r>
          </w:p>
        </w:tc>
        <w:tc>
          <w:tcPr>
            <w:tcW w:w="6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CS30048</w:t>
            </w:r>
          </w:p>
        </w:tc>
        <w:tc>
          <w:tcPr>
            <w:tcW w:w="6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6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9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212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7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类脑智能与人工通用智能</w:t>
            </w:r>
            <w:r>
              <w:br/>
            </w:r>
            <w:r>
              <w:br/>
            </w:r>
            <w:r>
              <w:rPr>
                <w:rFonts w:ascii="SimSun" w:hAnsi="SimSun"/>
                <w:b w:val="false"/>
                <w:i w:val="false"/>
                <w:color w:val="000000"/>
                <w:sz w:val="21"/>
              </w:rPr>
              <w:t>Brain-inspired Intelligence and Artificial General Intelligence</w:t>
            </w:r>
          </w:p>
        </w:tc>
        <w:tc>
          <w:tcPr>
            <w:tcW w:w="6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CS30060</w:t>
            </w:r>
          </w:p>
        </w:tc>
        <w:tc>
          <w:tcPr>
            <w:tcW w:w="6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6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9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212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7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信息论基础</w:t>
            </w:r>
            <w:r>
              <w:br/>
            </w:r>
            <w:r>
              <w:br/>
            </w:r>
            <w:r>
              <w:rPr>
                <w:rFonts w:ascii="SimSun" w:hAnsi="SimSun"/>
                <w:b w:val="false"/>
                <w:i w:val="false"/>
                <w:color w:val="000000"/>
                <w:sz w:val="21"/>
              </w:rPr>
              <w:t>Fundamentals of Information Theory</w:t>
            </w:r>
          </w:p>
        </w:tc>
        <w:tc>
          <w:tcPr>
            <w:tcW w:w="6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CS30024</w:t>
            </w:r>
          </w:p>
        </w:tc>
        <w:tc>
          <w:tcPr>
            <w:tcW w:w="6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6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9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212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7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数字信号处理</w:t>
            </w:r>
            <w:r>
              <w:br/>
            </w:r>
            <w:r>
              <w:br/>
            </w:r>
            <w:r>
              <w:rPr>
                <w:rFonts w:ascii="SimSun" w:hAnsi="SimSun"/>
                <w:b w:val="false"/>
                <w:i w:val="false"/>
                <w:color w:val="000000"/>
                <w:sz w:val="21"/>
              </w:rPr>
              <w:t>Digital Signal Processing</w:t>
            </w:r>
          </w:p>
        </w:tc>
        <w:tc>
          <w:tcPr>
            <w:tcW w:w="6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CS30039</w:t>
            </w:r>
          </w:p>
        </w:tc>
        <w:tc>
          <w:tcPr>
            <w:tcW w:w="6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6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9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212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7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移动互联网</w:t>
            </w:r>
            <w:r>
              <w:br/>
            </w:r>
            <w:r>
              <w:br/>
            </w:r>
            <w:r>
              <w:rPr>
                <w:rFonts w:ascii="SimSun" w:hAnsi="SimSun"/>
                <w:b w:val="false"/>
                <w:i w:val="false"/>
                <w:color w:val="000000"/>
                <w:sz w:val="21"/>
              </w:rPr>
              <w:t>Mobile Internet</w:t>
            </w:r>
          </w:p>
        </w:tc>
        <w:tc>
          <w:tcPr>
            <w:tcW w:w="6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CS40016</w:t>
            </w:r>
          </w:p>
        </w:tc>
        <w:tc>
          <w:tcPr>
            <w:tcW w:w="6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6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9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212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7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数据挖掘</w:t>
            </w:r>
            <w:r>
              <w:br/>
            </w:r>
            <w:r>
              <w:br/>
            </w:r>
            <w:r>
              <w:rPr>
                <w:rFonts w:ascii="SimSun" w:hAnsi="SimSun"/>
                <w:b w:val="false"/>
                <w:i w:val="false"/>
                <w:color w:val="000000"/>
                <w:sz w:val="21"/>
              </w:rPr>
              <w:t>Data Mining</w:t>
            </w:r>
          </w:p>
        </w:tc>
        <w:tc>
          <w:tcPr>
            <w:tcW w:w="6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CS30005</w:t>
            </w:r>
          </w:p>
        </w:tc>
        <w:tc>
          <w:tcPr>
            <w:tcW w:w="6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6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9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212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7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新型网络体系结构</w:t>
            </w:r>
            <w:r>
              <w:br/>
            </w:r>
            <w:r>
              <w:br/>
            </w:r>
            <w:r>
              <w:rPr>
                <w:rFonts w:ascii="SimSun" w:hAnsi="SimSun"/>
                <w:b w:val="false"/>
                <w:i w:val="false"/>
                <w:color w:val="000000"/>
                <w:sz w:val="21"/>
              </w:rPr>
              <w:t>Future Network Architecture</w:t>
            </w:r>
          </w:p>
        </w:tc>
        <w:tc>
          <w:tcPr>
            <w:tcW w:w="6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CS40003</w:t>
            </w:r>
          </w:p>
        </w:tc>
        <w:tc>
          <w:tcPr>
            <w:tcW w:w="6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6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9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212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7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大数据技术</w:t>
            </w:r>
            <w:r>
              <w:br/>
            </w:r>
            <w:r>
              <w:br/>
            </w:r>
            <w:r>
              <w:rPr>
                <w:rFonts w:ascii="SimSun" w:hAnsi="SimSun"/>
                <w:b w:val="false"/>
                <w:i w:val="false"/>
                <w:color w:val="000000"/>
                <w:sz w:val="21"/>
              </w:rPr>
              <w:t>Technique of Big Data</w:t>
            </w:r>
          </w:p>
        </w:tc>
        <w:tc>
          <w:tcPr>
            <w:tcW w:w="6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CS30002</w:t>
            </w:r>
          </w:p>
        </w:tc>
        <w:tc>
          <w:tcPr>
            <w:tcW w:w="6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6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9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212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7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卫星互联网</w:t>
            </w:r>
            <w:r>
              <w:br/>
            </w:r>
            <w:r>
              <w:br/>
            </w:r>
            <w:r>
              <w:rPr>
                <w:rFonts w:ascii="SimSun" w:hAnsi="SimSun"/>
                <w:b w:val="false"/>
                <w:i w:val="false"/>
                <w:color w:val="000000"/>
                <w:sz w:val="21"/>
              </w:rPr>
              <w:t>Satellite Internet</w:t>
            </w:r>
          </w:p>
        </w:tc>
        <w:tc>
          <w:tcPr>
            <w:tcW w:w="6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ICE50001</w:t>
            </w:r>
          </w:p>
        </w:tc>
        <w:tc>
          <w:tcPr>
            <w:tcW w:w="6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6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9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212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7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数字图像处理</w:t>
            </w:r>
            <w:r>
              <w:br/>
            </w:r>
            <w:r>
              <w:br/>
            </w:r>
            <w:r>
              <w:rPr>
                <w:rFonts w:ascii="SimSun" w:hAnsi="SimSun"/>
                <w:b w:val="false"/>
                <w:i w:val="false"/>
                <w:color w:val="000000"/>
                <w:sz w:val="21"/>
              </w:rPr>
              <w:t>Digital Image Processing</w:t>
            </w:r>
          </w:p>
        </w:tc>
        <w:tc>
          <w:tcPr>
            <w:tcW w:w="6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CS30004</w:t>
            </w:r>
          </w:p>
        </w:tc>
        <w:tc>
          <w:tcPr>
            <w:tcW w:w="6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6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9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212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7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软件测试</w:t>
            </w:r>
            <w:r>
              <w:br/>
            </w:r>
            <w:r>
              <w:br/>
            </w:r>
            <w:r>
              <w:rPr>
                <w:rFonts w:ascii="SimSun" w:hAnsi="SimSun"/>
                <w:b w:val="false"/>
                <w:i w:val="false"/>
                <w:color w:val="000000"/>
                <w:sz w:val="21"/>
              </w:rPr>
              <w:t>Software Testing</w:t>
            </w:r>
          </w:p>
        </w:tc>
        <w:tc>
          <w:tcPr>
            <w:tcW w:w="6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CS30008</w:t>
            </w:r>
          </w:p>
        </w:tc>
        <w:tc>
          <w:tcPr>
            <w:tcW w:w="6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6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9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212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7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程序设计语言原理</w:t>
            </w:r>
            <w:r>
              <w:br/>
            </w:r>
            <w:r>
              <w:br/>
            </w:r>
            <w:r>
              <w:rPr>
                <w:rFonts w:ascii="SimSun" w:hAnsi="SimSun"/>
                <w:b w:val="false"/>
                <w:i w:val="false"/>
                <w:color w:val="000000"/>
                <w:sz w:val="21"/>
              </w:rPr>
              <w:t>Principles of Programming Languages</w:t>
            </w:r>
          </w:p>
        </w:tc>
        <w:tc>
          <w:tcPr>
            <w:tcW w:w="6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CS40006</w:t>
            </w:r>
          </w:p>
        </w:tc>
        <w:tc>
          <w:tcPr>
            <w:tcW w:w="6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6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9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212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7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高性能编程</w:t>
            </w:r>
            <w:r>
              <w:br/>
            </w:r>
            <w:r>
              <w:br/>
            </w:r>
            <w:r>
              <w:rPr>
                <w:rFonts w:ascii="SimSun" w:hAnsi="SimSun"/>
                <w:b w:val="false"/>
                <w:i w:val="false"/>
                <w:color w:val="000000"/>
                <w:sz w:val="21"/>
              </w:rPr>
              <w:t>High Performance Programming</w:t>
            </w:r>
          </w:p>
        </w:tc>
        <w:tc>
          <w:tcPr>
            <w:tcW w:w="6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CS30001</w:t>
            </w:r>
          </w:p>
        </w:tc>
        <w:tc>
          <w:tcPr>
            <w:tcW w:w="6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6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9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212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7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数据科学基础</w:t>
            </w:r>
            <w:r>
              <w:br/>
            </w:r>
            <w:r>
              <w:br/>
            </w:r>
            <w:r>
              <w:rPr>
                <w:rFonts w:ascii="SimSun" w:hAnsi="SimSun"/>
                <w:b w:val="false"/>
                <w:i w:val="false"/>
                <w:color w:val="000000"/>
                <w:sz w:val="21"/>
              </w:rPr>
              <w:t>Introduction to Data Science</w:t>
            </w:r>
          </w:p>
        </w:tc>
        <w:tc>
          <w:tcPr>
            <w:tcW w:w="6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9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CS10001</w:t>
            </w:r>
          </w:p>
        </w:tc>
        <w:tc>
          <w:tcPr>
            <w:tcW w:w="6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6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9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212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7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并发理论</w:t>
            </w:r>
            <w:r>
              <w:br/>
            </w:r>
            <w:r>
              <w:br/>
            </w:r>
            <w:r>
              <w:rPr>
                <w:rFonts w:ascii="SimSun" w:hAnsi="SimSun"/>
                <w:b w:val="false"/>
                <w:i w:val="false"/>
                <w:color w:val="000000"/>
                <w:sz w:val="21"/>
              </w:rPr>
              <w:t>Concurrency Models</w:t>
            </w:r>
          </w:p>
        </w:tc>
        <w:tc>
          <w:tcPr>
            <w:tcW w:w="6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CS40017</w:t>
            </w:r>
          </w:p>
        </w:tc>
        <w:tc>
          <w:tcPr>
            <w:tcW w:w="6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6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9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212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7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信息物理融合系统</w:t>
            </w:r>
            <w:r>
              <w:br/>
            </w:r>
            <w:r>
              <w:br/>
            </w:r>
            <w:r>
              <w:rPr>
                <w:rFonts w:ascii="SimSun" w:hAnsi="SimSun"/>
                <w:b w:val="false"/>
                <w:i w:val="false"/>
                <w:color w:val="000000"/>
                <w:sz w:val="21"/>
              </w:rPr>
              <w:t>Cyber-physical Systems</w:t>
            </w:r>
          </w:p>
        </w:tc>
        <w:tc>
          <w:tcPr>
            <w:tcW w:w="6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9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CS40026</w:t>
            </w:r>
          </w:p>
        </w:tc>
        <w:tc>
          <w:tcPr>
            <w:tcW w:w="6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6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9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212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7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算法竞赛导论</w:t>
            </w:r>
            <w:r>
              <w:br/>
            </w:r>
            <w:r>
              <w:br/>
            </w:r>
            <w:r>
              <w:rPr>
                <w:rFonts w:ascii="SimSun" w:hAnsi="SimSun"/>
                <w:b w:val="false"/>
                <w:i w:val="false"/>
                <w:color w:val="000000"/>
                <w:sz w:val="21"/>
              </w:rPr>
              <w:t>Introduction to Algorithm Contest</w:t>
            </w:r>
          </w:p>
        </w:tc>
        <w:tc>
          <w:tcPr>
            <w:tcW w:w="6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CS30044</w:t>
            </w:r>
          </w:p>
        </w:tc>
        <w:tc>
          <w:tcPr>
            <w:tcW w:w="6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6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9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212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仅限ACM学生选课</w:t>
            </w:r>
          </w:p>
        </w:tc>
      </w:tr>
      <w:tr>
        <w:trPr>
          <w:trHeight w:val="45" w:hRule="atLeast"/>
        </w:trPr>
        <w:tc>
          <w:tcPr>
            <w:tcW w:w="27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算法竞赛进阶</w:t>
            </w:r>
            <w:r>
              <w:br/>
            </w:r>
            <w:r>
              <w:br/>
            </w:r>
            <w:r>
              <w:rPr>
                <w:rFonts w:ascii="SimSun" w:hAnsi="SimSun"/>
                <w:b w:val="false"/>
                <w:i w:val="false"/>
                <w:color w:val="000000"/>
                <w:sz w:val="21"/>
              </w:rPr>
              <w:t>Advanced Algorithm Contest</w:t>
            </w:r>
          </w:p>
        </w:tc>
        <w:tc>
          <w:tcPr>
            <w:tcW w:w="6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CS40018</w:t>
            </w:r>
          </w:p>
        </w:tc>
        <w:tc>
          <w:tcPr>
            <w:tcW w:w="6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6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9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212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仅限ACM学生选课</w:t>
            </w:r>
          </w:p>
        </w:tc>
      </w:tr>
      <w:tr>
        <w:trPr>
          <w:trHeight w:val="45" w:hRule="atLeast"/>
        </w:trPr>
        <w:tc>
          <w:tcPr>
            <w:tcW w:w="27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机器人学导论</w:t>
            </w:r>
            <w:r>
              <w:br/>
            </w:r>
            <w:r>
              <w:br/>
            </w:r>
            <w:r>
              <w:rPr>
                <w:rFonts w:ascii="SimSun" w:hAnsi="SimSun"/>
                <w:b w:val="false"/>
                <w:i w:val="false"/>
                <w:color w:val="000000"/>
                <w:sz w:val="21"/>
              </w:rPr>
              <w:t>Robotics Introduction</w:t>
            </w:r>
          </w:p>
        </w:tc>
        <w:tc>
          <w:tcPr>
            <w:tcW w:w="6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CS70012</w:t>
            </w:r>
          </w:p>
        </w:tc>
        <w:tc>
          <w:tcPr>
            <w:tcW w:w="6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6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9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212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7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并行计算与性能优化</w:t>
            </w:r>
            <w:r>
              <w:br/>
            </w:r>
            <w:r>
              <w:br/>
            </w:r>
            <w:r>
              <w:rPr>
                <w:rFonts w:ascii="SimSun" w:hAnsi="SimSun"/>
                <w:b w:val="false"/>
                <w:i w:val="false"/>
                <w:color w:val="000000"/>
                <w:sz w:val="21"/>
              </w:rPr>
              <w:t>Parallel Computing and Performance Engineerings</w:t>
            </w:r>
          </w:p>
        </w:tc>
        <w:tc>
          <w:tcPr>
            <w:tcW w:w="6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CS40033</w:t>
            </w:r>
          </w:p>
        </w:tc>
        <w:tc>
          <w:tcPr>
            <w:tcW w:w="6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6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6,7</w:t>
            </w:r>
          </w:p>
        </w:tc>
        <w:tc>
          <w:tcPr>
            <w:tcW w:w="9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212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7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人机交互</w:t>
            </w:r>
            <w:r>
              <w:br/>
            </w:r>
            <w:r>
              <w:br/>
            </w:r>
            <w:r>
              <w:rPr>
                <w:rFonts w:ascii="SimSun" w:hAnsi="SimSun"/>
                <w:b w:val="false"/>
                <w:i w:val="false"/>
                <w:color w:val="000000"/>
                <w:sz w:val="21"/>
              </w:rPr>
              <w:t>Human-Computer Interaction</w:t>
            </w:r>
          </w:p>
        </w:tc>
        <w:tc>
          <w:tcPr>
            <w:tcW w:w="6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CS30053</w:t>
            </w:r>
          </w:p>
        </w:tc>
        <w:tc>
          <w:tcPr>
            <w:tcW w:w="6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6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212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也可修读《Human-Computer Interaction》</w:t>
            </w:r>
          </w:p>
        </w:tc>
      </w:tr>
      <w:tr>
        <w:trPr>
          <w:trHeight w:val="45" w:hRule="atLeast"/>
        </w:trPr>
        <w:tc>
          <w:tcPr>
            <w:tcW w:w="27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机器学习系统</w:t>
            </w:r>
            <w:r>
              <w:br/>
            </w:r>
            <w:r>
              <w:br/>
            </w:r>
            <w:r>
              <w:rPr>
                <w:rFonts w:ascii="SimSun" w:hAnsi="SimSun"/>
                <w:b w:val="false"/>
                <w:i w:val="false"/>
                <w:color w:val="000000"/>
                <w:sz w:val="21"/>
              </w:rPr>
              <w:t>Machine Learning Systems</w:t>
            </w:r>
          </w:p>
        </w:tc>
        <w:tc>
          <w:tcPr>
            <w:tcW w:w="6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CS30058</w:t>
            </w:r>
          </w:p>
        </w:tc>
        <w:tc>
          <w:tcPr>
            <w:tcW w:w="6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6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7,8,9,10,11,12</w:t>
            </w:r>
          </w:p>
        </w:tc>
        <w:tc>
          <w:tcPr>
            <w:tcW w:w="9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212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7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神经网络与深度学习</w:t>
            </w:r>
            <w:r>
              <w:br/>
            </w:r>
            <w:r>
              <w:br/>
            </w:r>
            <w:r>
              <w:rPr>
                <w:rFonts w:ascii="SimSun" w:hAnsi="SimSun"/>
                <w:b w:val="false"/>
                <w:i w:val="false"/>
                <w:color w:val="000000"/>
                <w:sz w:val="21"/>
              </w:rPr>
              <w:t>Neural Networks and Deep Learning</w:t>
            </w:r>
          </w:p>
        </w:tc>
        <w:tc>
          <w:tcPr>
            <w:tcW w:w="6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CS60010</w:t>
            </w:r>
          </w:p>
        </w:tc>
        <w:tc>
          <w:tcPr>
            <w:tcW w:w="6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6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7,8,9,10,11,12</w:t>
            </w:r>
          </w:p>
        </w:tc>
        <w:tc>
          <w:tcPr>
            <w:tcW w:w="9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212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7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量子通信与计算</w:t>
            </w:r>
            <w:r>
              <w:br/>
            </w:r>
            <w:r>
              <w:br/>
            </w:r>
            <w:r>
              <w:rPr>
                <w:rFonts w:ascii="SimSun" w:hAnsi="SimSun"/>
                <w:b w:val="false"/>
                <w:i w:val="false"/>
                <w:color w:val="000000"/>
                <w:sz w:val="21"/>
              </w:rPr>
              <w:t>Quantum Information and Computation</w:t>
            </w:r>
          </w:p>
        </w:tc>
        <w:tc>
          <w:tcPr>
            <w:tcW w:w="6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CS50003</w:t>
            </w:r>
          </w:p>
        </w:tc>
        <w:tc>
          <w:tcPr>
            <w:tcW w:w="6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6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7,8,9,10,11,12</w:t>
            </w:r>
          </w:p>
        </w:tc>
        <w:tc>
          <w:tcPr>
            <w:tcW w:w="9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212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78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计算思维与算法实践</w:t>
            </w:r>
            <w:r>
              <w:br/>
            </w:r>
            <w:r>
              <w:br/>
            </w:r>
            <w:r>
              <w:rPr>
                <w:rFonts w:ascii="SimSun" w:hAnsi="SimSun"/>
                <w:b w:val="false"/>
                <w:i w:val="false"/>
                <w:color w:val="000000"/>
                <w:sz w:val="21"/>
              </w:rPr>
              <w:t>Computational Thinking and Algorithm Practice</w:t>
            </w:r>
          </w:p>
        </w:tc>
        <w:tc>
          <w:tcPr>
            <w:tcW w:w="69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9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7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CS50002</w:t>
            </w:r>
          </w:p>
        </w:tc>
        <w:tc>
          <w:tcPr>
            <w:tcW w:w="69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9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69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68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7,8,9,10,11,12</w:t>
            </w:r>
          </w:p>
        </w:tc>
        <w:tc>
          <w:tcPr>
            <w:tcW w:w="97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212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a) 限定专业选修课程</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（16学分）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课题组轮转</w:t>
            </w:r>
            <w:r>
              <w:br/>
            </w:r>
            <w:r>
              <w:br/>
            </w:r>
            <w:r>
              <w:rPr>
                <w:rFonts w:ascii="SimSun" w:hAnsi="SimSun"/>
                <w:b w:val="false"/>
                <w:i w:val="false"/>
                <w:color w:val="000000"/>
                <w:sz w:val="21"/>
              </w:rPr>
              <w:t>Research Group Rotation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CS20006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综合实践</w:t>
            </w:r>
            <w:r>
              <w:br/>
            </w:r>
            <w:r>
              <w:br/>
            </w:r>
            <w:r>
              <w:rPr>
                <w:rFonts w:ascii="SimSun" w:hAnsi="SimSun"/>
                <w:b w:val="false"/>
                <w:i w:val="false"/>
                <w:color w:val="000000"/>
                <w:sz w:val="21"/>
              </w:rPr>
              <w:t>Integrated Practicum</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CS30010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前沿探索</w:t>
            </w:r>
            <w:r>
              <w:br/>
            </w:r>
            <w:r>
              <w:br/>
            </w:r>
            <w:r>
              <w:rPr>
                <w:rFonts w:ascii="SimSun" w:hAnsi="SimSun"/>
                <w:b w:val="false"/>
                <w:i w:val="false"/>
                <w:color w:val="000000"/>
                <w:sz w:val="21"/>
              </w:rPr>
              <w:t>Frontier Exploration Practicum</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CS30011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CS40009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第5、6学期，需要承担1项复芏计划，详见复旦大学本科生学术研究资助计划管理办法。</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研究生学术活动</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段要求掌握本领域基本理论与方法以及前沿动态与最新技术成果，积极参加学术活动（形式包括参加学术报告或研讨、主讲学术或科普报告、参加学术会议等）。原则上要求各方向各年级每周组织一次讨论班，每个学生每学期报告2次以上，同时参加讨论班的总次数应在60次以上。要求每个学生每年参加3次以上前沿学术讲座。参与校企联合攻关项目、产业技术调研、科技成果转化实践等产教融合活动，鼓励学生结合国家重大战略需求及行业关键技术问题开展研究。鼓励有条件的方向在本领域研究基础上与学校文社理工医等其他各专业开展学科交叉研究。由导师和相关专家根据学术活动参加次数、报告质量以及相关学术研究中的具体贡献进行评定，评定等级分为合格(P)、不合格（NP）。</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研究生实践活动</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研究生学段必须完成一次教学实践，担任学院指定的本科课程的助教。由任课教师根据助教工作量和质量进行评定，评定等级分为合格(P)、不合格（NP）。</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专业外语</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可用修读1门全英语的研究生课程替代</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国际交流</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原则上应到具有世界一流水平的境内外机构进行不少于一学期的学习、研究或联合培养，同时参加至少1次高水平国际会议并作报告。鼓励导师支持学生赴海外高水平大学开展一学期以上的学习或交流。</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博士学位论文开题</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在第10学期完成，详见学院论文开题实施细则</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博士生资格考核</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在第10学期完成，详见学院博士生资格考试实施细则</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博士论文中期考核</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在第12学期完成，见学院中期考核实施细则</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博士学位论文预审</w:t>
            </w:r>
            <w:r>
              <w:br/>
            </w:r>
            <w:r>
              <w:br/>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博士学位论文预审由院系组织，具体参照《复旦大学博士、硕士学位论文预审办法》《复旦大学博士研究生培养分流退出实施办法》及院系相关文件规定执行。</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 Target="media/document_image_rId7.png" Type="http://schemas.openxmlformats.org/officeDocument/2006/relationships/image" Id="rId7"/>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