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公共卫生学院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2025预防医学-人工智能双学士学位项目培养方案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一流公共卫生与预防医学学科是保障国家公共卫生安全、实现健康中国建设这一国家重大发展战略的必要支撑。复旦大学公共卫生与预防医学学科是教育部“双一流”建设学科，在最新一轮教育部学科评估中获评顶尖成绩。入选国家高水平公共卫生学院、上海市I类高峰学科。本专业立足于国家社会经济和公共卫生的发展需求，服务于“健康中国”和“全球健康”国家战略，以保障人群健康、控制重大疾病和贡献科学决策为目标，为国家公共卫生事业的高质量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培养德智体美劳全面发展，掌握扎实的医学基础理论和预防医学专业知识，以及生物医学领域大数据分析、人工智能技术开发和应用的基本理论和方法，有较强的创新意识和解决实际问题的能力，毕业后能独立从事疾病预防与控制、突发公共卫生事件应急处置、健康医疗大数据及人工智能研究和应用、卫生监督等工作，并能承担预防医学的教学和科研工作的复合型公共卫生拔尖创新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一门外语，熟悉基础医学和临床医学的基本理论和技能，掌握预防医学相关学科的理论和方法，熟悉预防医学研究中的常用实验技术。具有较强的人工智能应用能力，能够熟练进行大数据分析，并有综合运用所学知识分析解决问题的能力；具有一定的科研能力和实际工作能力。</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381"/>
        <w:gridCol w:w="3386"/>
        <w:gridCol w:w="740"/>
        <w:gridCol w:w="1480"/>
        <w:gridCol w:w="3080"/>
        <w:gridCol w:w="36"/>
        <w:gridCol w:w="37"/>
        <w:gridCol w:w="1260"/>
        <w:gridCol w:w="1620"/>
      </w:tblGrid>
      <w:tr>
        <w:trPr>
          <w:trHeight w:val="240" w:hRule="atLeast"/>
        </w:trPr>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1.修业年限：5年（类型：√本科、□本硕、□本博）</w:t>
            </w:r>
          </w:p>
        </w:tc>
        <w:tc>
          <w:tcPr>
            <w:tcW w:w="1260" w:type="dxa"/>
            <w:tcBorders>
              <w:bottom w:val="single" w:color="000000" w:sz="8"/>
              <w:right w:val="single" w:color="000000" w:sz="8"/>
            </w:tcBorders>
            <w:tcMar>
              <w:top w:w="15" w:type="dxa"/>
              <w:left w:w="15" w:type="dxa"/>
              <w:bottom w:w="15" w:type="dxa"/>
              <w:right w:w="15" w:type="dxa"/>
            </w:tcMar>
            <w:vAlign w:val="center"/>
          </w:tcPr>
          <w:p/>
        </w:tc>
        <w:tc>
          <w:tcPr>
            <w:tcW w:w="1620" w:type="dxa"/>
            <w:tcBorders>
              <w:bottom w:val="single" w:color="000000" w:sz="8"/>
              <w:right w:val="single" w:color="000000" w:sz="8"/>
            </w:tcBorders>
            <w:tcMar>
              <w:top w:w="15" w:type="dxa"/>
              <w:left w:w="15" w:type="dxa"/>
              <w:bottom w:w="15" w:type="dxa"/>
              <w:right w:w="15" w:type="dxa"/>
            </w:tcMar>
            <w:vAlign w:val="center"/>
          </w:tcPr>
          <w:p/>
        </w:tc>
      </w:tr>
      <w:tr>
        <w:trPr>
          <w:trHeight w:val="240"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240" w:hRule="atLeast"/>
        </w:trPr>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7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4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40" w:hRule="atLeast"/>
        </w:trPr>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医学学士/工学学士</w:t>
            </w:r>
          </w:p>
        </w:tc>
        <w:tc>
          <w:tcPr>
            <w:tcW w:w="7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4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预防医学-人工智能</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√按照不少于学分数 224.5</w:t>
            </w:r>
          </w:p>
        </w:tc>
      </w:tr>
      <w:tr>
        <w:trPr>
          <w:trHeight w:val="24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30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通识教育课程37学分</w:t>
            </w:r>
          </w:p>
        </w:tc>
      </w:tr>
      <w:tr>
        <w:trPr>
          <w:trHeight w:val="24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专业培养课程154学分</w:t>
            </w:r>
          </w:p>
        </w:tc>
      </w:tr>
      <w:tr>
        <w:trPr>
          <w:trHeight w:val="24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专业进阶模块22学分</w:t>
            </w:r>
          </w:p>
        </w:tc>
      </w:tr>
      <w:tr>
        <w:trPr>
          <w:trHeight w:val="96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融合创新能力模块11.5学分</w:t>
            </w:r>
          </w:p>
        </w:tc>
      </w:tr>
      <w:tr>
        <w:trPr>
          <w:trHeight w:val="240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183467" cy="1388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183467" cy="13885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42"/>
        <w:gridCol w:w="1342"/>
        <w:gridCol w:w="1360"/>
        <w:gridCol w:w="1364"/>
        <w:gridCol w:w="1364"/>
        <w:gridCol w:w="1364"/>
        <w:gridCol w:w="1364"/>
        <w:gridCol w:w="1365"/>
        <w:gridCol w:w="1365"/>
        <w:gridCol w:w="1365"/>
        <w:gridCol w:w="136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专业进阶路径：224.5学分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路径学生需要完成224.5学分（含实践学分不低于60学分；含美育学分不少于2学分，其中至少在“美学和艺术史论类”或“艺术鉴赏和评论类”课程中修读1学分，并至少参与一项艺术实践活动；劳动教育不少于32学时，并满足劳动周教育要求），包括通识教育课程37学分、专业培养课程154学分、专业进阶模块修读22学分、融合创新能力模块11.5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本科荣誉项目：231学分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荣誉项目课程设置和修读要求请见公共卫生学院“本科荣誉项目”实施方案。下载地址：https://jwc.fudan.edu.cn/（复旦大学教务处）专业培养-常用文档。</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跨学科学发展路径：229.5学分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学程课程详见教务处学程项目网页，下载地址：https://jwc.fudan.edu.cn/（复旦大学教务处）专业培养-常用文档。完成学程修读要求的学生可获得相应的学程证书。</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46"/>
        <w:gridCol w:w="1346"/>
        <w:gridCol w:w="1346"/>
        <w:gridCol w:w="1346"/>
        <w:gridCol w:w="1346"/>
        <w:gridCol w:w="1346"/>
        <w:gridCol w:w="1352"/>
        <w:gridCol w:w="1353"/>
        <w:gridCol w:w="1353"/>
        <w:gridCol w:w="1353"/>
        <w:gridCol w:w="1353"/>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5年级结束时，如达到学士学位要求者授予医学学士学位、工学学士学位。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供参考，请以课程列表为准。</w:t>
      </w:r>
    </w:p>
    <w:p>
      <w:pPr>
        <w:spacing w:after="0"/>
        <w:ind w:left="0"/>
        <w:jc w:val="left"/>
      </w:pPr>
      <w:r>
        <w:drawing>
          <wp:inline distT="0" distB="0" distL="0" distR="0">
            <wp:extent cx="4656667" cy="2590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56667" cy="25908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（154学分）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（120学分）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系统解剖学B</w:t>
            </w:r>
            <w:r>
              <w:br/>
            </w:r>
            <w:r>
              <w:br/>
            </w:r>
            <w:r>
              <w:rPr>
                <w:rFonts w:ascii="SimSun" w:hAnsi="SimSun"/>
                <w:b w:val="false"/>
                <w:i w:val="false"/>
                <w:color w:val="000000"/>
                <w:sz w:val="21"/>
              </w:rPr>
              <w:t>Systematic Anatomy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组织胚胎学B</w:t>
            </w:r>
            <w:r>
              <w:br/>
            </w:r>
            <w:r>
              <w:br/>
            </w:r>
            <w:r>
              <w:rPr>
                <w:rFonts w:ascii="SimSun" w:hAnsi="SimSun"/>
                <w:b w:val="false"/>
                <w:i w:val="false"/>
                <w:color w:val="000000"/>
                <w:sz w:val="21"/>
              </w:rPr>
              <w:t>Histoembryology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医学细胞与遗传学</w:t>
            </w:r>
            <w:r>
              <w:br/>
            </w:r>
            <w:r>
              <w:br/>
            </w:r>
            <w:r>
              <w:rPr>
                <w:rFonts w:ascii="SimSun" w:hAnsi="SimSun"/>
                <w:b w:val="false"/>
                <w:i w:val="false"/>
                <w:color w:val="000000"/>
                <w:sz w:val="21"/>
              </w:rPr>
              <w:t>Cytology and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生理学B</w:t>
            </w:r>
            <w:r>
              <w:br/>
            </w:r>
            <w:r>
              <w:br/>
            </w:r>
            <w:r>
              <w:rPr>
                <w:rFonts w:ascii="SimSun" w:hAnsi="SimSun"/>
                <w:b w:val="false"/>
                <w:i w:val="false"/>
                <w:color w:val="000000"/>
                <w:sz w:val="21"/>
              </w:rPr>
              <w:t>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免疫学C</w:t>
            </w:r>
            <w:r>
              <w:br/>
            </w:r>
            <w:r>
              <w:br/>
            </w:r>
            <w:r>
              <w:rPr>
                <w:rFonts w:ascii="SimSun" w:hAnsi="SimSun"/>
                <w:b w:val="false"/>
                <w:i w:val="false"/>
                <w:color w:val="000000"/>
                <w:sz w:val="21"/>
              </w:rPr>
              <w:t>Medical Immunology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Composite Experiments in Functional Sciences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影像诊断学C</w:t>
            </w:r>
            <w:r>
              <w:br/>
            </w:r>
            <w:r>
              <w:br/>
            </w:r>
            <w:r>
              <w:rPr>
                <w:rFonts w:ascii="SimSun" w:hAnsi="SimSun"/>
                <w:b w:val="false"/>
                <w:i w:val="false"/>
                <w:color w:val="000000"/>
                <w:sz w:val="21"/>
              </w:rPr>
              <w:t>Diagnostic Imaging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内科学C</w:t>
            </w:r>
            <w:r>
              <w:br/>
            </w:r>
            <w:r>
              <w:br/>
            </w:r>
            <w:r>
              <w:rPr>
                <w:rFonts w:ascii="SimSun" w:hAnsi="SimSun"/>
                <w:b w:val="false"/>
                <w:i w:val="false"/>
                <w:color w:val="000000"/>
                <w:sz w:val="21"/>
              </w:rPr>
              <w:t>Internal Medicine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公共卫生导论</w:t>
            </w:r>
            <w:r>
              <w:br/>
            </w:r>
            <w:r>
              <w:br/>
            </w:r>
            <w:r>
              <w:rPr>
                <w:rFonts w:ascii="SimSun" w:hAnsi="SimSun"/>
                <w:b w:val="false"/>
                <w:i w:val="false"/>
                <w:color w:val="000000"/>
                <w:sz w:val="21"/>
              </w:rPr>
              <w:t>Introduction to Public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社会医学</w:t>
            </w:r>
            <w:r>
              <w:br/>
            </w:r>
            <w:r>
              <w:br/>
            </w:r>
            <w:r>
              <w:rPr>
                <w:rFonts w:ascii="SimSun" w:hAnsi="SimSun"/>
                <w:b w:val="false"/>
                <w:i w:val="false"/>
                <w:color w:val="000000"/>
                <w:sz w:val="21"/>
              </w:rPr>
              <w:t>Social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卫生化学</w:t>
            </w:r>
            <w:r>
              <w:br/>
            </w:r>
            <w:r>
              <w:br/>
            </w:r>
            <w:r>
              <w:rPr>
                <w:rFonts w:ascii="SimSun" w:hAnsi="SimSun"/>
                <w:b w:val="false"/>
                <w:i w:val="false"/>
                <w:color w:val="000000"/>
                <w:sz w:val="21"/>
              </w:rPr>
              <w:t>Sanitary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卫生法学</w:t>
            </w:r>
            <w:r>
              <w:br/>
            </w:r>
            <w:r>
              <w:br/>
            </w:r>
            <w:r>
              <w:rPr>
                <w:rFonts w:ascii="SimSun" w:hAnsi="SimSun"/>
                <w:b w:val="false"/>
                <w:i w:val="false"/>
                <w:color w:val="000000"/>
                <w:sz w:val="21"/>
              </w:rPr>
              <w:t>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基础毒理</w:t>
            </w:r>
            <w:r>
              <w:br/>
            </w:r>
            <w:r>
              <w:br/>
            </w:r>
            <w:r>
              <w:rPr>
                <w:rFonts w:ascii="SimSun" w:hAnsi="SimSun"/>
                <w:b w:val="false"/>
                <w:i w:val="false"/>
                <w:color w:val="000000"/>
                <w:sz w:val="21"/>
              </w:rPr>
              <w:t>Basics of Toxicology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卫生事业管理学</w:t>
            </w:r>
            <w:r>
              <w:br/>
            </w:r>
            <w:r>
              <w:br/>
            </w:r>
            <w:r>
              <w:rPr>
                <w:rFonts w:ascii="SimSun" w:hAnsi="SimSun"/>
                <w:b w:val="false"/>
                <w:i w:val="false"/>
                <w:color w:val="000000"/>
                <w:sz w:val="21"/>
              </w:rPr>
              <w:t>Health Service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健康教育学</w:t>
            </w:r>
            <w:r>
              <w:br/>
            </w:r>
            <w:r>
              <w:br/>
            </w:r>
            <w:r>
              <w:rPr>
                <w:rFonts w:ascii="SimSun" w:hAnsi="SimSun"/>
                <w:b w:val="false"/>
                <w:i w:val="false"/>
                <w:color w:val="000000"/>
                <w:sz w:val="21"/>
              </w:rPr>
              <w:t>Gender-Specific Health Education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儿少卫生学</w:t>
            </w:r>
            <w:r>
              <w:br/>
            </w:r>
            <w:r>
              <w:br/>
            </w:r>
            <w:r>
              <w:rPr>
                <w:rFonts w:ascii="SimSun" w:hAnsi="SimSun"/>
                <w:b w:val="false"/>
                <w:i w:val="false"/>
                <w:color w:val="000000"/>
                <w:sz w:val="21"/>
              </w:rPr>
              <w:t>Child and Adolescent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流行病学实践</w:t>
            </w:r>
            <w:r>
              <w:br/>
            </w:r>
            <w:r>
              <w:br/>
            </w:r>
            <w:r>
              <w:rPr>
                <w:rFonts w:ascii="SimSun" w:hAnsi="SimSun"/>
                <w:b w:val="false"/>
                <w:i w:val="false"/>
                <w:color w:val="000000"/>
                <w:sz w:val="21"/>
              </w:rPr>
              <w:t>Experiments in 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w:t>
            </w:r>
            <w:r>
              <w:br/>
            </w:r>
            <w:r>
              <w:br/>
            </w:r>
            <w:r>
              <w:rPr>
                <w:rFonts w:ascii="SimSun" w:hAnsi="SimSun"/>
                <w:b w:val="false"/>
                <w:i w:val="false"/>
                <w:color w:val="000000"/>
                <w:sz w:val="21"/>
              </w:rPr>
              <w:t>Occupational Health and Occupational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环境卫生学</w:t>
            </w:r>
            <w:r>
              <w:br/>
            </w:r>
            <w:r>
              <w:br/>
            </w:r>
            <w:r>
              <w:rPr>
                <w:rFonts w:ascii="SimSun" w:hAnsi="SimSun"/>
                <w:b w:val="false"/>
                <w:i w:val="false"/>
                <w:color w:val="000000"/>
                <w:sz w:val="21"/>
              </w:rPr>
              <w:t>Environmental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营养与食品卫生学</w:t>
            </w:r>
            <w:r>
              <w:br/>
            </w:r>
            <w:r>
              <w:br/>
            </w:r>
            <w:r>
              <w:rPr>
                <w:rFonts w:ascii="SimSun" w:hAnsi="SimSun"/>
                <w:b w:val="false"/>
                <w:i w:val="false"/>
                <w:color w:val="000000"/>
                <w:sz w:val="21"/>
              </w:rPr>
              <w:t>Nutrition and Food Hygiene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14学分,进阶II 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卫生统计学实践</w:t>
            </w:r>
            <w:r>
              <w:br/>
            </w:r>
            <w:r>
              <w:br/>
            </w:r>
            <w:r>
              <w:rPr>
                <w:rFonts w:ascii="SimSun" w:hAnsi="SimSun"/>
                <w:b w:val="false"/>
                <w:i w:val="false"/>
                <w:color w:val="000000"/>
                <w:sz w:val="21"/>
              </w:rPr>
              <w:t>Practice of Hygiene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妇产科学C</w:t>
            </w:r>
            <w:r>
              <w:br/>
            </w:r>
            <w:r>
              <w:br/>
            </w:r>
            <w:r>
              <w:rPr>
                <w:rFonts w:ascii="SimSun" w:hAnsi="SimSun"/>
                <w:b w:val="false"/>
                <w:i w:val="false"/>
                <w:color w:val="000000"/>
                <w:sz w:val="21"/>
              </w:rPr>
              <w:t>Obstetrics and Gynecology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儿科学C</w:t>
            </w:r>
            <w:r>
              <w:br/>
            </w:r>
            <w:r>
              <w:br/>
            </w:r>
            <w:r>
              <w:rPr>
                <w:rFonts w:ascii="SimSun" w:hAnsi="SimSun"/>
                <w:b w:val="false"/>
                <w:i w:val="false"/>
                <w:color w:val="000000"/>
                <w:sz w:val="21"/>
              </w:rPr>
              <w:t>Pediatrics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临床实习</w:t>
            </w:r>
            <w:r>
              <w:br/>
            </w:r>
            <w:r>
              <w:br/>
            </w:r>
            <w:r>
              <w:rPr>
                <w:rFonts w:ascii="SimSun" w:hAnsi="SimSun"/>
                <w:b w:val="false"/>
                <w:i w:val="false"/>
                <w:color w:val="000000"/>
                <w:sz w:val="21"/>
              </w:rPr>
              <w:t>Clinical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卫生微生物</w:t>
            </w:r>
            <w:r>
              <w:br/>
            </w:r>
            <w:r>
              <w:br/>
            </w:r>
            <w:r>
              <w:rPr>
                <w:rFonts w:ascii="SimSun" w:hAnsi="SimSun"/>
                <w:b w:val="false"/>
                <w:i w:val="false"/>
                <w:color w:val="000000"/>
                <w:sz w:val="21"/>
              </w:rPr>
              <w:t>Sanitary Microbiology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人工智能模块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现代技术与营养科学</w:t>
            </w:r>
            <w:r>
              <w:br/>
            </w:r>
            <w:r>
              <w:br/>
            </w:r>
            <w:r>
              <w:rPr>
                <w:rFonts w:ascii="SimSun" w:hAnsi="SimSun"/>
                <w:b w:val="false"/>
                <w:i w:val="false"/>
                <w:color w:val="000000"/>
                <w:sz w:val="21"/>
              </w:rPr>
              <w:t>Modern Technology and Nutritional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AIS110005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大数据与统计模拟在公共卫生中的应用</w:t>
            </w:r>
            <w:r>
              <w:br/>
            </w:r>
            <w:r>
              <w:br/>
            </w:r>
            <w:r>
              <w:rPr>
                <w:rFonts w:ascii="SimSun" w:hAnsi="SimSun"/>
                <w:b w:val="false"/>
                <w:i w:val="false"/>
                <w:color w:val="000000"/>
                <w:sz w:val="21"/>
              </w:rPr>
              <w:t>Application of Big Data and Statistical Simulation in Public Health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预防医学模块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医学文献检索与利用B</w:t>
            </w:r>
            <w:r>
              <w:br/>
            </w:r>
            <w:r>
              <w:br/>
            </w:r>
            <w:r>
              <w:rPr>
                <w:rFonts w:ascii="SimSun" w:hAnsi="SimSun"/>
                <w:b w:val="false"/>
                <w:i w:val="false"/>
                <w:color w:val="000000"/>
                <w:sz w:val="21"/>
              </w:rPr>
              <w:t>Medical Information Retrieval and Applications B</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健康心理学</w:t>
            </w:r>
            <w:r>
              <w:br/>
            </w:r>
            <w:r>
              <w:br/>
            </w:r>
            <w:r>
              <w:rPr>
                <w:rFonts w:ascii="SimSun" w:hAnsi="SimSun"/>
                <w:b w:val="false"/>
                <w:i w:val="false"/>
                <w:color w:val="000000"/>
                <w:sz w:val="21"/>
              </w:rPr>
              <w:t>Health Psychology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医院获得性感染</w:t>
            </w:r>
            <w:r>
              <w:br/>
            </w:r>
            <w:r>
              <w:br/>
            </w:r>
            <w:r>
              <w:rPr>
                <w:rFonts w:ascii="SimSun" w:hAnsi="SimSun"/>
                <w:b w:val="false"/>
                <w:i w:val="false"/>
                <w:color w:val="000000"/>
                <w:sz w:val="21"/>
              </w:rPr>
              <w:t>Hospital-Acquired Infection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管理与沟通技巧</w:t>
            </w:r>
            <w:r>
              <w:br/>
            </w:r>
            <w:r>
              <w:br/>
            </w:r>
            <w:r>
              <w:rPr>
                <w:rFonts w:ascii="SimSun" w:hAnsi="SimSun"/>
                <w:b w:val="false"/>
                <w:i w:val="false"/>
                <w:color w:val="000000"/>
                <w:sz w:val="21"/>
              </w:rPr>
              <w:t>Management and Communication Skills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妇幼卫生学概论</w:t>
            </w:r>
            <w:r>
              <w:br/>
            </w:r>
            <w:r>
              <w:br/>
            </w:r>
            <w:r>
              <w:rPr>
                <w:rFonts w:ascii="SimSun" w:hAnsi="SimSun"/>
                <w:b w:val="false"/>
                <w:i w:val="false"/>
                <w:color w:val="000000"/>
                <w:sz w:val="21"/>
              </w:rPr>
              <w:t>Introduction to Maternal and Child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医学人口统计学</w:t>
            </w:r>
            <w:r>
              <w:br/>
            </w:r>
            <w:r>
              <w:br/>
            </w:r>
            <w:r>
              <w:rPr>
                <w:rFonts w:ascii="SimSun" w:hAnsi="SimSun"/>
                <w:b w:val="false"/>
                <w:i w:val="false"/>
                <w:color w:val="000000"/>
                <w:sz w:val="21"/>
              </w:rPr>
              <w:t>Medical Demography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公共卫生监督学</w:t>
            </w:r>
            <w:r>
              <w:br/>
            </w:r>
            <w:r>
              <w:br/>
            </w:r>
            <w:r>
              <w:rPr>
                <w:rFonts w:ascii="SimSun" w:hAnsi="SimSun"/>
                <w:b w:val="false"/>
                <w:i w:val="false"/>
                <w:color w:val="000000"/>
                <w:sz w:val="21"/>
              </w:rPr>
              <w:t>Public Health Inspection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卫生人力规划</w:t>
            </w:r>
            <w:r>
              <w:br/>
            </w:r>
            <w:r>
              <w:br/>
            </w:r>
            <w:r>
              <w:rPr>
                <w:rFonts w:ascii="SimSun" w:hAnsi="SimSun"/>
                <w:b w:val="false"/>
                <w:i w:val="false"/>
                <w:color w:val="000000"/>
                <w:sz w:val="21"/>
              </w:rPr>
              <w:t>Health and Human Resources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仪器分析的应用</w:t>
            </w:r>
            <w:r>
              <w:br/>
            </w:r>
            <w:r>
              <w:br/>
            </w:r>
            <w:r>
              <w:rPr>
                <w:rFonts w:ascii="SimSun" w:hAnsi="SimSun"/>
                <w:b w:val="false"/>
                <w:i w:val="false"/>
                <w:color w:val="000000"/>
                <w:sz w:val="21"/>
              </w:rPr>
              <w:t>Application of Instrumental Analysis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放射卫生学与放射防护</w:t>
            </w:r>
            <w:r>
              <w:br/>
            </w:r>
            <w:r>
              <w:br/>
            </w:r>
            <w:r>
              <w:rPr>
                <w:rFonts w:ascii="SimSun" w:hAnsi="SimSun"/>
                <w:b w:val="false"/>
                <w:i w:val="false"/>
                <w:color w:val="000000"/>
                <w:sz w:val="21"/>
              </w:rPr>
              <w:t>Radiological Health and Radiation Protection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卫生经济评价方法</w:t>
            </w:r>
            <w:r>
              <w:br/>
            </w:r>
            <w:r>
              <w:br/>
            </w:r>
            <w:r>
              <w:rPr>
                <w:rFonts w:ascii="SimSun" w:hAnsi="SimSun"/>
                <w:b w:val="false"/>
                <w:i w:val="false"/>
                <w:color w:val="000000"/>
                <w:sz w:val="21"/>
              </w:rPr>
              <w:t>Method of Health Economic Evaluation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色谱分析新技术</w:t>
            </w:r>
            <w:r>
              <w:br/>
            </w:r>
            <w:r>
              <w:br/>
            </w:r>
            <w:r>
              <w:rPr>
                <w:rFonts w:ascii="SimSun" w:hAnsi="SimSun"/>
                <w:b w:val="false"/>
                <w:i w:val="false"/>
                <w:color w:val="000000"/>
                <w:sz w:val="21"/>
              </w:rPr>
              <w:t>Advances in Chromatography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医学生职业生涯规划</w:t>
            </w:r>
            <w:r>
              <w:br/>
            </w:r>
            <w:r>
              <w:br/>
            </w:r>
            <w:r>
              <w:rPr>
                <w:rFonts w:ascii="SimSun" w:hAnsi="SimSun"/>
                <w:b w:val="false"/>
                <w:i w:val="false"/>
                <w:color w:val="000000"/>
                <w:sz w:val="21"/>
              </w:rPr>
              <w:t>Career Planning for Medical Students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卫生经济学概论</w:t>
            </w:r>
            <w:r>
              <w:br/>
            </w:r>
            <w:r>
              <w:br/>
            </w:r>
            <w:r>
              <w:rPr>
                <w:rFonts w:ascii="SimSun" w:hAnsi="SimSun"/>
                <w:b w:val="false"/>
                <w:i w:val="false"/>
                <w:color w:val="000000"/>
                <w:sz w:val="21"/>
              </w:rPr>
              <w:t>Introduction of Health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食品免疫学</w:t>
            </w:r>
            <w:r>
              <w:br/>
            </w:r>
            <w:r>
              <w:br/>
            </w:r>
            <w:r>
              <w:rPr>
                <w:rFonts w:ascii="SimSun" w:hAnsi="SimSun"/>
                <w:b w:val="false"/>
                <w:i w:val="false"/>
                <w:color w:val="000000"/>
                <w:sz w:val="21"/>
              </w:rPr>
              <w:t>Food Immunology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卫生管理预测与决策分析</w:t>
            </w:r>
            <w:r>
              <w:br/>
            </w:r>
            <w:r>
              <w:br/>
            </w:r>
            <w:r>
              <w:rPr>
                <w:rFonts w:ascii="SimSun" w:hAnsi="SimSun"/>
                <w:b w:val="false"/>
                <w:i w:val="false"/>
                <w:color w:val="000000"/>
                <w:sz w:val="21"/>
              </w:rPr>
              <w:t>Forecasting and Decision Making in Health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科学写作：聚焦群医学</w:t>
            </w:r>
            <w:r>
              <w:br/>
            </w:r>
            <w:r>
              <w:br/>
            </w:r>
            <w:r>
              <w:rPr>
                <w:rFonts w:ascii="SimSun" w:hAnsi="SimSun"/>
                <w:b w:val="false"/>
                <w:i w:val="false"/>
                <w:color w:val="000000"/>
                <w:sz w:val="21"/>
              </w:rPr>
              <w:t>Scientific Writing: Focusing on Population-based Medicine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行为经济学与公众健康</w:t>
            </w:r>
            <w:r>
              <w:br/>
            </w:r>
            <w:r>
              <w:br/>
            </w:r>
            <w:r>
              <w:rPr>
                <w:rFonts w:ascii="SimSun" w:hAnsi="SimSun"/>
                <w:b w:val="false"/>
                <w:i w:val="false"/>
                <w:color w:val="000000"/>
                <w:sz w:val="21"/>
              </w:rPr>
              <w:t>Behavioral Economics and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PHPM130116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健康公平</w:t>
            </w:r>
            <w:r>
              <w:br/>
            </w:r>
            <w:r>
              <w:br/>
            </w:r>
            <w:r>
              <w:rPr>
                <w:rFonts w:ascii="SimSun" w:hAnsi="SimSun"/>
                <w:b w:val="false"/>
                <w:i w:val="false"/>
                <w:color w:val="000000"/>
                <w:sz w:val="21"/>
              </w:rPr>
              <w:t>Health equity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卫生学评价</w:t>
            </w:r>
            <w:r>
              <w:br/>
            </w:r>
            <w:r>
              <w:br/>
            </w:r>
            <w:r>
              <w:rPr>
                <w:rFonts w:ascii="SimSun" w:hAnsi="SimSun"/>
                <w:b w:val="false"/>
                <w:i w:val="false"/>
                <w:color w:val="000000"/>
                <w:sz w:val="21"/>
              </w:rPr>
              <w:t>Hygenic Evaluation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疫苗与传染病防控</w:t>
            </w:r>
            <w:r>
              <w:br/>
            </w:r>
            <w:r>
              <w:br/>
            </w:r>
            <w:r>
              <w:rPr>
                <w:rFonts w:ascii="SimSun" w:hAnsi="SimSun"/>
                <w:b w:val="false"/>
                <w:i w:val="false"/>
                <w:color w:val="000000"/>
                <w:sz w:val="21"/>
              </w:rPr>
              <w:t>Vaccines and Infectious Disease Prevention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心理与饮食行为</w:t>
            </w:r>
            <w:r>
              <w:br/>
            </w:r>
            <w:r>
              <w:br/>
            </w:r>
            <w:r>
              <w:rPr>
                <w:rFonts w:ascii="SimSun" w:hAnsi="SimSun"/>
                <w:b w:val="false"/>
                <w:i w:val="false"/>
                <w:color w:val="000000"/>
                <w:sz w:val="21"/>
              </w:rPr>
              <w:t>Psychology of eating</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荣誉项目课程设置和修读要求请见公共卫生学院“本科荣誉项目”实施方案。下载地址：https://jwc.fudan.edu.cn/（复旦大学教务处）专业培养-常用文档。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修满29学分。两种完成途径：(A)修读专业进阶I和1个非本专业独立开设的专业学程或跨学科学程；或者(B)修读2个非本专业独立开设的专业学程或跨学科学程。学分不足部分可在全校开设的本科生课程中任意选修。完成跨学科发展路径(A)的学生可获得相应的学程证书，可以向公共卫生学院申请推免直研资格，公共卫生学院为其提供专业排名；完成跨学科发展路径(B)的学生可获得相应的学程证书，但不能向公共卫生学院申请推免直研资格，公共卫生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29学分。两种完成途径：(A)修读专业进阶I以及1个创新创业学院开设的创新创业学程；或者(B)修读1个非本专业独立开设的专业学程或跨学科学程以及1个创新创业学院开设的创新创业学程。学分不足部分可在全校所有本科生课程中任意选修。创新创业学程课程详见教务处学程项目网页，下载地址：https://jwc.fudan.edu.cn/（复旦大学教务处）专业培养-常用文档。完成创新创业路径(A)的学生可向公共卫生学院申请推免直研资格，公共卫生学院为其提供专业排名。完成创新创业路径(B)的学生不能向公共卫生学院申请推免直研资格，公共卫生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1.鼓励完成1项德隆项目或复芏计划（FDUROP）项目，激发创新志趣。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2.多渠道支持学生参加国内国际高水平学术交流，鼓励学生参加国内国际高水平创新竞赛（中国国际大学生创新大赛、“挑战杯”全国大学生课外学术科技作品竞赛、全国大学生健康科普大赛等）。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职业卫生与职业医学实验</w:t>
            </w:r>
            <w:r>
              <w:br/>
            </w:r>
            <w:r>
              <w:br/>
            </w:r>
            <w:r>
              <w:rPr>
                <w:rFonts w:ascii="SimSun" w:hAnsi="SimSun"/>
                <w:b w:val="false"/>
                <w:i w:val="false"/>
                <w:color w:val="000000"/>
                <w:sz w:val="21"/>
              </w:rPr>
              <w:t>Experiments in Occupational Health and Occupational Medicine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环境卫生学实验</w:t>
            </w:r>
            <w:r>
              <w:br/>
            </w:r>
            <w:r>
              <w:br/>
            </w:r>
            <w:r>
              <w:rPr>
                <w:rFonts w:ascii="SimSun" w:hAnsi="SimSun"/>
                <w:b w:val="false"/>
                <w:i w:val="false"/>
                <w:color w:val="000000"/>
                <w:sz w:val="21"/>
              </w:rPr>
              <w:t>Experiments in Environmental Health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营养与食品卫生学实验</w:t>
            </w:r>
            <w:r>
              <w:br/>
            </w:r>
            <w:r>
              <w:br/>
            </w:r>
            <w:r>
              <w:rPr>
                <w:rFonts w:ascii="SimSun" w:hAnsi="SimSun"/>
                <w:b w:val="false"/>
                <w:i w:val="false"/>
                <w:color w:val="000000"/>
                <w:sz w:val="21"/>
              </w:rPr>
              <w:t>Experiments in Nutrition and Food Hygiene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环境医学综合实验</w:t>
            </w:r>
            <w:r>
              <w:br/>
            </w:r>
            <w:r>
              <w:br/>
            </w:r>
            <w:r>
              <w:rPr>
                <w:rFonts w:ascii="SimSun" w:hAnsi="SimSun"/>
                <w:b w:val="false"/>
                <w:i w:val="false"/>
                <w:color w:val="000000"/>
                <w:sz w:val="21"/>
              </w:rPr>
              <w:t>Comprehensive Experiments in Environmental Health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Production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需要承担1项德隆或复芏计划项目，详见复旦大学本科生学术研究资助计划管理办法。</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