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2025哲学类本科培养方案(强基计划适用)（仅第一学年）</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132667"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1843"/>
        <w:gridCol w:w="1844"/>
        <w:gridCol w:w="1680"/>
        <w:gridCol w:w="1200"/>
        <w:gridCol w:w="980"/>
        <w:gridCol w:w="2"/>
        <w:gridCol w:w="5"/>
        <w:gridCol w:w="1060"/>
        <w:gridCol w:w="152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0" w:type="dxa"/>
            <w:tcBorders>
              <w:bottom w:val="single" w:color="000000" w:sz="8"/>
              <w:right w:val="single" w:color="000000" w:sz="8"/>
            </w:tcBorders>
            <w:tcMar>
              <w:top w:w="15" w:type="dxa"/>
              <w:left w:w="15" w:type="dxa"/>
              <w:bottom w:w="15" w:type="dxa"/>
              <w:right w:w="15" w:type="dxa"/>
            </w:tcMar>
            <w:vAlign w:val="center"/>
          </w:tcPr>
          <w:p/>
        </w:tc>
        <w:tc>
          <w:tcPr>
            <w:tcW w:w="152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878667"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78667" cy="1354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53学分，融合创新能力培养7学分，专业进阶模块I 20学分，专业进阶模块II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w:t>
      </w:r>
    </w:p>
    <w:p>
      <w:pPr>
        <w:spacing w:after="0"/>
        <w:ind w:left="0"/>
        <w:jc w:val="left"/>
      </w:pPr>
      <w:r>
        <w:rPr>
          <w:rFonts w:ascii="SimSun" w:hAnsi="SimSun"/>
          <w:b w:val="false"/>
          <w:i w:val="false"/>
          <w:color w:val="000000"/>
          <w:sz w:val="21"/>
        </w:rPr>
        <w:t>3、哲学+AI双学士学位项目：170学分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 </w:t>
      </w:r>
      <w:r>
        <w:br/>
      </w:r>
      <w:r>
        <w:br/>
      </w:r>
      <w:r>
        <w:br/>
      </w:r>
      <w:r>
        <w:br/>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本科学位                                        </w:t>
      </w:r>
      <w:r>
        <w:br/>
      </w:r>
      <w:r>
        <w:br/>
      </w:r>
      <w:r>
        <w:rPr>
          <w:rFonts w:ascii="SimSun" w:hAnsi="SimSun"/>
          <w:b w:val="false"/>
          <w:i w:val="false"/>
          <w:color w:val="000000"/>
          <w:sz w:val="21"/>
        </w:rPr>
        <w:t xml:space="preserve"> 4年级结束时，如达到学士学位要求者授予哲学学士学位。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强基计划”学生入校后按照“2+X”培养方案中的“荣誉项目”路径修读各类课程。“强基计划”学生实行动态进出制，每学年根据学习成绩进行考核，不合格的学生将转出“强基计划”（详见《复旦大学哲学学院“强基计划”学生管理办法（试行）》）。“强基计划”学生在大一结束时，按照学生意愿可在哲学专业内部各方向进行分流，专业分流后按照各专业方向荣誉项目实施方案进行培养。“强基计划”同学经考核合格，可100%入选本学院“优秀大学生夏令营”，参加推荐免试攻读研究生选拔；满足相关要求的“强基计划”学生将按规定确保获得优先推荐；特别优秀的学生可进入直博生通道；“强基计划”学生可在大四学年修读本专业研究生基础课程，如在本校深造，则按照复旦大学研究生院规定计入研究生成绩。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13200"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3200" cy="21844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现代英美哲学</w:t>
            </w:r>
            <w:r>
              <w:br/>
            </w:r>
            <w:r>
              <w:br/>
            </w:r>
            <w:r>
              <w:rPr>
                <w:rFonts w:ascii="SimSun" w:hAnsi="SimSun"/>
                <w:b w:val="false"/>
                <w:i w:val="false"/>
                <w:color w:val="000000"/>
                <w:sz w:val="21"/>
              </w:rPr>
              <w:t>Contemporary Anglo-American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马克思主义哲学史</w:t>
            </w:r>
            <w:r>
              <w:br/>
            </w:r>
            <w:r>
              <w:br/>
            </w:r>
            <w:r>
              <w:rPr>
                <w:rFonts w:ascii="SimSun" w:hAnsi="SimSun"/>
                <w:b w:val="false"/>
                <w:i w:val="false"/>
                <w:color w:val="000000"/>
                <w:sz w:val="21"/>
              </w:rPr>
              <w:t>History of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科学哲学</w:t>
            </w:r>
            <w:r>
              <w:br/>
            </w:r>
            <w:r>
              <w:br/>
            </w:r>
            <w:r>
              <w:rPr>
                <w:rFonts w:ascii="SimSun" w:hAnsi="SimSun"/>
                <w:b w:val="false"/>
                <w:i w:val="false"/>
                <w:color w:val="000000"/>
                <w:sz w:val="21"/>
              </w:rPr>
              <w:t>Philosophy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知识论</w:t>
            </w:r>
            <w:r>
              <w:br/>
            </w:r>
            <w:r>
              <w:br/>
            </w:r>
            <w:r>
              <w:rPr>
                <w:rFonts w:ascii="SimSun" w:hAnsi="SimSun"/>
                <w:b w:val="false"/>
                <w:i w:val="false"/>
                <w:color w:val="000000"/>
                <w:sz w:val="21"/>
              </w:rPr>
              <w:t>Epistemology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专业进阶</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专业进阶课程I</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历史哲学</w:t>
            </w:r>
            <w:r>
              <w:br/>
            </w:r>
            <w:r>
              <w:br/>
            </w:r>
            <w:r>
              <w:rPr>
                <w:rFonts w:ascii="SimSun" w:hAnsi="SimSun"/>
                <w:b w:val="false"/>
                <w:i w:val="false"/>
                <w:color w:val="000000"/>
                <w:sz w:val="21"/>
              </w:rPr>
              <w:t>Philosophy of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西方马克思学</w:t>
            </w:r>
            <w:r>
              <w:br/>
            </w:r>
            <w:r>
              <w:br/>
            </w:r>
            <w:r>
              <w:rPr>
                <w:rFonts w:ascii="SimSun" w:hAnsi="SimSun"/>
                <w:b w:val="false"/>
                <w:i w:val="false"/>
                <w:color w:val="000000"/>
                <w:sz w:val="21"/>
              </w:rPr>
              <w:t>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价值哲学</w:t>
            </w:r>
            <w:r>
              <w:br/>
            </w:r>
            <w:r>
              <w:br/>
            </w:r>
            <w:r>
              <w:rPr>
                <w:rFonts w:ascii="SimSun" w:hAnsi="SimSun"/>
                <w:b w:val="false"/>
                <w:i w:val="false"/>
                <w:color w:val="000000"/>
                <w:sz w:val="21"/>
              </w:rPr>
              <w:t>Axiology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认识论</w:t>
            </w:r>
            <w:r>
              <w:br/>
            </w:r>
            <w:r>
              <w:br/>
            </w:r>
            <w:r>
              <w:rPr>
                <w:rFonts w:ascii="SimSun" w:hAnsi="SimSun"/>
                <w:b w:val="false"/>
                <w:i w:val="false"/>
                <w:color w:val="000000"/>
                <w:sz w:val="21"/>
              </w:rPr>
              <w:t>Theory of Knowledge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西方马克思主义原著选读</w:t>
            </w:r>
            <w:r>
              <w:br/>
            </w:r>
            <w:r>
              <w:br/>
            </w:r>
            <w:r>
              <w:rPr>
                <w:rFonts w:ascii="SimSun" w:hAnsi="SimSun"/>
                <w:b w:val="false"/>
                <w:i w:val="false"/>
                <w:color w:val="000000"/>
                <w:sz w:val="21"/>
              </w:rPr>
              <w:t>Selected Readings in 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社会批判理论</w:t>
            </w:r>
            <w:r>
              <w:br/>
            </w:r>
            <w:r>
              <w:br/>
            </w:r>
            <w:r>
              <w:rPr>
                <w:rFonts w:ascii="SimSun" w:hAnsi="SimSun"/>
                <w:b w:val="false"/>
                <w:i w:val="false"/>
                <w:color w:val="000000"/>
                <w:sz w:val="21"/>
              </w:rPr>
              <w:t>Social Criticism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社会理论</w:t>
            </w:r>
            <w:r>
              <w:br/>
            </w:r>
            <w:r>
              <w:br/>
            </w:r>
            <w:r>
              <w:rPr>
                <w:rFonts w:ascii="SimSun" w:hAnsi="SimSun"/>
                <w:b w:val="false"/>
                <w:i w:val="false"/>
                <w:color w:val="000000"/>
                <w:sz w:val="21"/>
              </w:rPr>
              <w:t>Social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PHIL130207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激进哲学</w:t>
            </w:r>
            <w:r>
              <w:br/>
            </w:r>
            <w:r>
              <w:br/>
            </w:r>
            <w:r>
              <w:rPr>
                <w:rFonts w:ascii="SimSun" w:hAnsi="SimSun"/>
                <w:b w:val="false"/>
                <w:i w:val="false"/>
                <w:color w:val="000000"/>
                <w:sz w:val="21"/>
              </w:rPr>
              <w:t>Radical Philosophy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社会哲学与社会理论</w:t>
            </w:r>
            <w:r>
              <w:br/>
            </w:r>
            <w:r>
              <w:br/>
            </w:r>
            <w:r>
              <w:rPr>
                <w:rFonts w:ascii="SimSun" w:hAnsi="SimSun"/>
                <w:b w:val="false"/>
                <w:i w:val="false"/>
                <w:color w:val="000000"/>
                <w:sz w:val="21"/>
              </w:rPr>
              <w:t>Social Philosophy and Social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柏拉图哲学</w:t>
            </w:r>
            <w:r>
              <w:br/>
            </w:r>
            <w:r>
              <w:br/>
            </w:r>
            <w:r>
              <w:rPr>
                <w:rFonts w:ascii="SimSun" w:hAnsi="SimSun"/>
                <w:b w:val="false"/>
                <w:i w:val="false"/>
                <w:color w:val="000000"/>
                <w:sz w:val="21"/>
              </w:rPr>
              <w:t>Plato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亚里士多德哲学</w:t>
            </w:r>
            <w:r>
              <w:br/>
            </w:r>
            <w:r>
              <w:br/>
            </w:r>
            <w:r>
              <w:rPr>
                <w:rFonts w:ascii="SimSun" w:hAnsi="SimSun"/>
                <w:b w:val="false"/>
                <w:i w:val="false"/>
                <w:color w:val="000000"/>
                <w:sz w:val="21"/>
              </w:rPr>
              <w:t>Aristotle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笛卡尔哲学</w:t>
            </w:r>
            <w:r>
              <w:br/>
            </w:r>
            <w:r>
              <w:br/>
            </w:r>
            <w:r>
              <w:rPr>
                <w:rFonts w:ascii="SimSun" w:hAnsi="SimSun"/>
                <w:b w:val="false"/>
                <w:i w:val="false"/>
                <w:color w:val="000000"/>
                <w:sz w:val="21"/>
              </w:rPr>
              <w:t>Descartes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休谟哲学</w:t>
            </w:r>
            <w:r>
              <w:br/>
            </w:r>
            <w:r>
              <w:br/>
            </w:r>
            <w:r>
              <w:rPr>
                <w:rFonts w:ascii="SimSun" w:hAnsi="SimSun"/>
                <w:b w:val="false"/>
                <w:i w:val="false"/>
                <w:color w:val="000000"/>
                <w:sz w:val="21"/>
              </w:rPr>
              <w:t>Hume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卢梭哲学</w:t>
            </w:r>
            <w:r>
              <w:br/>
            </w:r>
            <w:r>
              <w:br/>
            </w:r>
            <w:r>
              <w:rPr>
                <w:rFonts w:ascii="SimSun" w:hAnsi="SimSun"/>
                <w:b w:val="false"/>
                <w:i w:val="false"/>
                <w:color w:val="000000"/>
                <w:sz w:val="21"/>
              </w:rPr>
              <w:t>Rousseau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黑格尔哲学</w:t>
            </w:r>
            <w:r>
              <w:br/>
            </w:r>
            <w:r>
              <w:br/>
            </w:r>
            <w:r>
              <w:rPr>
                <w:rFonts w:ascii="SimSun" w:hAnsi="SimSun"/>
                <w:b w:val="false"/>
                <w:i w:val="false"/>
                <w:color w:val="000000"/>
                <w:sz w:val="21"/>
              </w:rPr>
              <w:t>Philosophy of Hegel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中世纪哲学原著选读</w:t>
            </w:r>
            <w:r>
              <w:br/>
            </w:r>
            <w:r>
              <w:br/>
            </w:r>
            <w:r>
              <w:rPr>
                <w:rFonts w:ascii="SimSun" w:hAnsi="SimSun"/>
                <w:b w:val="false"/>
                <w:i w:val="false"/>
                <w:color w:val="000000"/>
                <w:sz w:val="21"/>
              </w:rPr>
              <w:t>Selected Readings in Medieval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分析哲学原著选读</w:t>
            </w:r>
            <w:r>
              <w:br/>
            </w:r>
            <w:r>
              <w:br/>
            </w:r>
            <w:r>
              <w:rPr>
                <w:rFonts w:ascii="SimSun" w:hAnsi="SimSun"/>
                <w:b w:val="false"/>
                <w:i w:val="false"/>
                <w:color w:val="000000"/>
                <w:sz w:val="21"/>
              </w:rPr>
              <w:t>Selected Readings in Analytical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现代欧陆哲学原著选读</w:t>
            </w:r>
            <w:r>
              <w:br/>
            </w:r>
            <w:r>
              <w:br/>
            </w:r>
            <w:r>
              <w:rPr>
                <w:rFonts w:ascii="SimSun" w:hAnsi="SimSun"/>
                <w:b w:val="false"/>
                <w:i w:val="false"/>
                <w:color w:val="000000"/>
                <w:sz w:val="21"/>
              </w:rPr>
              <w:t>Selected Readings in Modern European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现代德国哲学</w:t>
            </w:r>
            <w:r>
              <w:br/>
            </w:r>
            <w:r>
              <w:br/>
            </w:r>
            <w:r>
              <w:rPr>
                <w:rFonts w:ascii="SimSun" w:hAnsi="SimSun"/>
                <w:b w:val="false"/>
                <w:i w:val="false"/>
                <w:color w:val="000000"/>
                <w:sz w:val="21"/>
              </w:rPr>
              <w:t>Contemporary German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维特根斯坦哲学</w:t>
            </w:r>
            <w:r>
              <w:br/>
            </w:r>
            <w:r>
              <w:br/>
            </w:r>
            <w:r>
              <w:rPr>
                <w:rFonts w:ascii="SimSun" w:hAnsi="SimSun"/>
                <w:b w:val="false"/>
                <w:i w:val="false"/>
                <w:color w:val="000000"/>
                <w:sz w:val="21"/>
              </w:rPr>
              <w:t>Wittgenstein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海德格尔哲学</w:t>
            </w:r>
            <w:r>
              <w:br/>
            </w:r>
            <w:r>
              <w:br/>
            </w:r>
            <w:r>
              <w:rPr>
                <w:rFonts w:ascii="SimSun" w:hAnsi="SimSun"/>
                <w:b w:val="false"/>
                <w:i w:val="false"/>
                <w:color w:val="000000"/>
                <w:sz w:val="21"/>
              </w:rPr>
              <w:t>Heidegger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古典实用主义哲学</w:t>
            </w:r>
            <w:r>
              <w:br/>
            </w:r>
            <w:r>
              <w:br/>
            </w:r>
            <w:r>
              <w:rPr>
                <w:rFonts w:ascii="SimSun" w:hAnsi="SimSun"/>
                <w:b w:val="false"/>
                <w:i w:val="false"/>
                <w:color w:val="000000"/>
                <w:sz w:val="21"/>
              </w:rPr>
              <w:t>Study of Classic Pragmatism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哲学方法论导论</w:t>
            </w:r>
            <w:r>
              <w:br/>
            </w:r>
            <w:r>
              <w:br/>
            </w:r>
            <w:r>
              <w:rPr>
                <w:rFonts w:ascii="SimSun" w:hAnsi="SimSun"/>
                <w:b w:val="false"/>
                <w:i w:val="false"/>
                <w:color w:val="000000"/>
                <w:sz w:val="21"/>
              </w:rPr>
              <w:t>Introduction to Philosophical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现代西方哲学原著</w:t>
            </w:r>
            <w:r>
              <w:br/>
            </w:r>
            <w:r>
              <w:br/>
            </w:r>
            <w:r>
              <w:rPr>
                <w:rFonts w:ascii="SimSun" w:hAnsi="SimSun"/>
                <w:b w:val="false"/>
                <w:i w:val="false"/>
                <w:color w:val="000000"/>
                <w:sz w:val="21"/>
              </w:rPr>
              <w:t>Classics of Contemporary Western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政治哲学</w:t>
            </w:r>
            <w:r>
              <w:br/>
            </w:r>
            <w:r>
              <w:br/>
            </w:r>
            <w:r>
              <w:rPr>
                <w:rFonts w:ascii="SimSun" w:hAnsi="SimSun"/>
                <w:b w:val="false"/>
                <w:i w:val="false"/>
                <w:color w:val="000000"/>
                <w:sz w:val="21"/>
              </w:rPr>
              <w:t>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教育哲学</w:t>
            </w:r>
            <w:r>
              <w:br/>
            </w:r>
            <w:r>
              <w:br/>
            </w:r>
            <w:r>
              <w:rPr>
                <w:rFonts w:ascii="SimSun" w:hAnsi="SimSun"/>
                <w:b w:val="false"/>
                <w:i w:val="false"/>
                <w:color w:val="000000"/>
                <w:sz w:val="21"/>
              </w:rPr>
              <w:t>Philosophy of Education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西方伦理学史</w:t>
            </w:r>
            <w:r>
              <w:br/>
            </w:r>
            <w:r>
              <w:br/>
            </w:r>
            <w:r>
              <w:rPr>
                <w:rFonts w:ascii="SimSun" w:hAnsi="SimSun"/>
                <w:b w:val="false"/>
                <w:i w:val="false"/>
                <w:color w:val="000000"/>
                <w:sz w:val="21"/>
              </w:rPr>
              <w:t>Introduction to the History of Western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社会科学哲学</w:t>
            </w:r>
            <w:r>
              <w:br/>
            </w:r>
            <w:r>
              <w:br/>
            </w:r>
            <w:r>
              <w:rPr>
                <w:rFonts w:ascii="SimSun" w:hAnsi="SimSun"/>
                <w:b w:val="false"/>
                <w:i w:val="false"/>
                <w:color w:val="000000"/>
                <w:sz w:val="21"/>
              </w:rPr>
              <w:t>Philosophy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伦理学原著选读</w:t>
            </w:r>
            <w:r>
              <w:br/>
            </w:r>
            <w:r>
              <w:br/>
            </w:r>
            <w:r>
              <w:rPr>
                <w:rFonts w:ascii="SimSun" w:hAnsi="SimSun"/>
                <w:b w:val="false"/>
                <w:i w:val="false"/>
                <w:color w:val="000000"/>
                <w:sz w:val="21"/>
              </w:rPr>
              <w:t>Selected Readings in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应用伦理学专题</w:t>
            </w:r>
            <w:r>
              <w:br/>
            </w:r>
            <w:r>
              <w:br/>
            </w:r>
            <w:r>
              <w:rPr>
                <w:rFonts w:ascii="SimSun" w:hAnsi="SimSun"/>
                <w:b w:val="false"/>
                <w:i w:val="false"/>
                <w:color w:val="000000"/>
                <w:sz w:val="21"/>
              </w:rPr>
              <w:t>Topics on Applied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神经伦理学</w:t>
            </w:r>
            <w:r>
              <w:br/>
            </w:r>
            <w:r>
              <w:br/>
            </w:r>
            <w:r>
              <w:rPr>
                <w:rFonts w:ascii="SimSun" w:hAnsi="SimSun"/>
                <w:b w:val="false"/>
                <w:i w:val="false"/>
                <w:color w:val="000000"/>
                <w:sz w:val="21"/>
              </w:rPr>
              <w:t>Neuroethics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(5)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融合创新能力：Y模块</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