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2025市场营销-人工智能双学士学位项目培养方案（港澳台侨生适用）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市场营销学系成立于1999年，其前身可追溯至20世纪80年代恢复的市场营销教学与研究。作为国内首批对标国际商学院模式设立的市场营销专业，该系致力于培养兼具全球视野与中国市场实践能力的复合型人才。本专业以“宽口径、厚基础、重能力、求创新”为原则，培养掌握管理学、经济学与市场营销理论，具备市场调研、营销策划、数字营销等实践能力的专业人才。根据2024年专业排名，复旦大学市场营销专业稳居全国前三，毕业生就业竞争力连续多年位列国内高校前列。</w:t>
      </w:r>
      <w:r>
        <w:br/>
      </w:r>
      <w:r>
        <w:br/>
      </w:r>
      <w:r>
        <w:rPr>
          <w:rFonts w:ascii="SimSun" w:hAnsi="SimSun"/>
          <w:b w:val="false"/>
          <w:i w:val="false"/>
          <w:color w:val="000000"/>
          <w:sz w:val="21"/>
        </w:rPr>
        <w:t xml:space="preserve">   “市场营销-人工智能”双学士学位项目打通市场营销与AI双学位培养路径，充分发挥两学科优势，开展跨学科融合教育，贯彻“市场营销+”深度交叉融合培养理念，探索复合型卓越人才培养新模式。“市场营销-人工智能”双学位项目所构建的“AI赋能+营销创新”的双螺旋培养体系，将让毕业生同时具备两大核心竞争力：既能运用人工智能技术开展市场洞察、构建动态定价模型，又能创新市场营销战略，主导品牌数字化运营与智能营销生态设计。</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本专业对接国家和上海市政府提出AI专业人次培养的建设需求，致力于培养德智体美劳全面发展的复合型人才，使学生具备扎实的经济学、管理学和人工智能基础知识。学生将熟悉市场营销与人工智能的理论、分析方法及其实际应用，能够在企、事业单位及政府部门从事市场营销与管理、数据分析、智能营销策略的制定与实施。该专业要求学生掌握管理学、经济学的基本理论，同时熟悉现代市场营销理论和人工智能技术，包括机器学习、数据挖掘和自然语言处理等。</w:t>
      </w:r>
      <w:r>
        <w:br/>
      </w:r>
      <w:r>
        <w:br/>
      </w:r>
      <w:r>
        <w:rPr>
          <w:rFonts w:ascii="SimSun" w:hAnsi="SimSun"/>
          <w:b w:val="false"/>
          <w:i w:val="false"/>
          <w:color w:val="000000"/>
          <w:sz w:val="21"/>
        </w:rPr>
        <w:t xml:space="preserve">      学生将学习并熟练运用市场营销的定性、定量分析方法，掌握数据分析与人工智能技术在市场营销中的应用，能够利用数据分析工具和编程语言（如Python、R等）进行营销数据的处理与分析。同时，学生将具备较强的语言与文字表达能力、人际沟通能力，能够分析和解决营销实际问题，并利用人工智能技术优化营销策略。此外，学生还需熟练掌握一门外语，能够阅读并理解专业文献，参与国际交流与合作。通过掌握文献检索和资料查询的基本方法，学生将具备初步的科学研究能力和较强的实际工作能力。学生将能够将人工智能技术与市场营销理论相结合，进行创新性实践，设计并实施智能营销策略，利用人工智能技术进行市场预测、消费者行为分析和个性化营销等。通过本双专业的学习，学生将能够在市场营销领域中利用人工智能技术进行创新和实践，提升市场营销工作的效率和效果，成为适应现代市场需求的复合型人才。 </w:t>
      </w: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419600" cy="1388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19600" cy="1388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081867" cy="104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081867" cy="1049867"/>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专业进阶路径：139学分                                                                   </w:t>
      </w:r>
    </w:p>
    <w:p>
      <w:pPr>
        <w:spacing w:after="0"/>
        <w:ind w:left="0"/>
        <w:jc w:val="left"/>
      </w:pPr>
      <w:r>
        <w:rPr>
          <w:rFonts w:ascii="SimSun" w:hAnsi="SimSun"/>
          <w:b w:val="false"/>
          <w:i w:val="false"/>
          <w:color w:val="000000"/>
          <w:sz w:val="21"/>
        </w:rPr>
        <w:t xml:space="preserve">      本路径学生需要完成139学分（含实践学分不低于35学分；含美育学分不少于2学分，其中至少在“美学和艺术史论类”或“艺术鉴赏和评论类”课程中修读1学分，并至少参与一项艺术实践活动；劳动教育不少于32学时，并满足劳动周教育要求），包括通识教育课程12学分、专业培养课程91学分、专业进阶模块I修读29学分、融合创新能力模块7学分。                                                                  </w:t>
      </w:r>
    </w:p>
    <w:p>
      <w:pPr>
        <w:spacing w:after="0"/>
        <w:ind w:left="0"/>
        <w:jc w:val="left"/>
      </w:pPr>
      <w:r>
        <w:rPr>
          <w:rFonts w:ascii="SimSun" w:hAnsi="SimSun"/>
          <w:b w:val="false"/>
          <w:i w:val="false"/>
          <w:color w:val="000000"/>
          <w:sz w:val="21"/>
        </w:rPr>
        <w:t xml:space="preserve">2、 本科荣誉项目：                                                           </w:t>
      </w:r>
    </w:p>
    <w:p>
      <w:pPr>
        <w:spacing w:after="0"/>
        <w:ind w:left="0"/>
        <w:jc w:val="left"/>
      </w:pPr>
      <w:r>
        <w:rPr>
          <w:rFonts w:ascii="SimSun" w:hAnsi="SimSun"/>
          <w:b w:val="false"/>
          <w:i w:val="false"/>
          <w:color w:val="000000"/>
          <w:sz w:val="21"/>
        </w:rPr>
        <w:t xml:space="preserve">   在3个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跨学科学发展路径：139学分                                                                   </w:t>
      </w:r>
    </w:p>
    <w:p>
      <w:pPr>
        <w:spacing w:after="0"/>
        <w:ind w:left="0"/>
        <w:jc w:val="left"/>
      </w:pP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  1.  4年级结束时，如达到此双学士学位要求者授予管理学-工学双学士学位。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（3）在此基础上，达到管理学院“本科荣誉证书”获得条件的授予“本科荣誉证书”，具体要求请见管理学院“本科荣誉项目”实施方案。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420533" cy="1507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20533" cy="1507067"/>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以及国家安全教育1学分）；II类通识专项教育课程，修满13学分,免修“人工智能教学专项”板块。课程设置详见核心课程七大模块。
       </w:t>
      </w:r>
      <w:r>
        <w:br/>
      </w:r>
      <w:r>
        <w:rPr>
          <w:rFonts w:ascii="SimSun" w:hAnsi="SimSun"/>
          <w:b w:val="false"/>
          <w:i w:val="false"/>
          <w:color w:val="000000"/>
          <w:sz w:val="21"/>
        </w:rPr>
        <w:t xml:space="preserve">
       </w:t>
      </w:r>
      <w:r>
        <w:br/>
      </w:r>
      <w:r>
        <w:rPr>
          <w:rFonts w:ascii="SimSun" w:hAnsi="SimSun"/>
          <w:b w:val="false"/>
          <w:i w:val="false"/>
          <w:color w:val="000000"/>
          <w:sz w:val="21"/>
        </w:rPr>
        <w:t xml:space="preserve">留学生和港澳台侨学生的通识教育课程修读要求，以及留学生的水平测试要求，参见“留学生、港澳台侨学生修读说明”。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学生应在大类基础课程中修满29学分，必修管理学院开设的课程。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要求修读62学分（部分课程学分可用荣誉课程学分替换），设置如下：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修满29学分。要求在本专业专业进阶模块修读进阶I 9学分,进阶II 8学分，进阶III 12学分。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专业进阶III组</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语言大数据与统计建模</w:t>
            </w:r>
            <w:r>
              <w:br/>
            </w:r>
            <w:r>
              <w:br/>
            </w:r>
            <w:r>
              <w:rPr>
                <w:rFonts w:ascii="SimSun" w:hAnsi="SimSun"/>
                <w:b w:val="false"/>
                <w:i w:val="false"/>
                <w:color w:val="000000"/>
                <w:sz w:val="21"/>
              </w:rPr>
              <w:t>Language Big Data and Statistical Modeling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行业大模型前沿与实践</w:t>
            </w:r>
            <w:r>
              <w:br/>
            </w:r>
            <w:r>
              <w:br/>
            </w:r>
            <w:r>
              <w:rPr>
                <w:rFonts w:ascii="SimSun" w:hAnsi="SimSun"/>
                <w:b w:val="false"/>
                <w:i w:val="false"/>
                <w:color w:val="000000"/>
                <w:sz w:val="21"/>
              </w:rPr>
              <w:t>Industry Large Modeling Frontiers and Practices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AIT310030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大数据与社会科学</w:t>
            </w:r>
            <w:r>
              <w:br/>
            </w:r>
            <w:r>
              <w:br/>
            </w:r>
            <w:r>
              <w:rPr>
                <w:rFonts w:ascii="SimSun" w:hAnsi="SimSun"/>
                <w:b w:val="false"/>
                <w:i w:val="false"/>
                <w:color w:val="000000"/>
                <w:sz w:val="21"/>
              </w:rPr>
              <w:t>Big Data for Social Science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人工智能与概率建模结合的科学智能应用</w:t>
            </w:r>
            <w:r>
              <w:br/>
            </w:r>
            <w:r>
              <w:br/>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AIT410020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3个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且满足该学程修读要求。要求修读2个外院开设的专业学程，或修读2个跨学科学程，或修读1个外院开设的专业学程和1个跨学科学程，或修读1个专业进阶I组课程9学分和1个外院的专业学程或1个跨学科学程，学分不足部分可在全校所有本科生课程中任意选修。毕业时将获得此双学位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且满足该学程修读要求。要求修读1个创新创业学院开设的创新创业学程，以及1个非本专业独立开设的学程；或者2个创新创业学院开设的创新创业学程，或修读1个专业进阶I组课程9学分和1个外院的专业学程或1个跨学科学程。修读学分不足部分可在全校所有本科生课程中任意选修。完成创新创业路径的学生，毕业时将获得此双学位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修满57学分。要求至少修读2个本专业进阶课程，即专业进阶I和进阶II组课程（17学分）和1个外院开设的辅修学士学位项目。辅修学士学位应与主修学士学位归属不同的本科专业大类。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此双学位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