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2025行政管理（公共政策）-人工智能双学士学位复合型人才培养项目培养方案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复旦大学公共管理学为行政管理专业，是国内最早设立行政管理本科专业、国家级一流本科专业，首批设立公共管理一级学科博士点及博士后流动站设站的单位之一，也是全国首批公共管理专业学位硕士（MPA）培养机构，形成了完善的本-硕-博一体化人才培养体系。</w:t>
      </w:r>
      <w:r>
        <w:br/>
      </w:r>
      <w:r>
        <w:br/>
      </w:r>
      <w:r>
        <w:rPr>
          <w:rFonts w:ascii="SimSun" w:hAnsi="SimSun"/>
          <w:b w:val="false"/>
          <w:i w:val="false"/>
          <w:color w:val="000000"/>
          <w:sz w:val="21"/>
        </w:rPr>
        <w:t>复旦大学公共行政系承担行政管理、公共政策、应急管理与政府运行保障管理等二级学科的建设与发展任务。</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项目对接国家和上海市政府提出的人工智能（AI）专业人才培养的建设需求，秉持“宽口径、厚基础、重能力、求创新”的人才培养理念，培养德智体美劳全面发展，拥有扎实的公共政策与行政管理理论基础以及人工智能基础知识与关键技能的复合型创新人才，能够结合公共管理、政治学、人工智能、计算机科学等跨学科背景，在党政机关、企事业单位、社会团体从事管理工作以及人工智能相关研究与开发工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系统掌握马克思主义基本原理，熟练掌握公共政策学、行政管理学、政治学、人工智能科学、计算机科学的基本理论知识；具备辩证唯物主义和历史唯物主义的基本观点和分析方法；深入了解社会治理与公共服务以及党政管理相关的法律、制度、方针、政策；熟练掌握一门外语；了解公共政策、行政管理、人工智能的理论前沿以及政治学、管理学、法学、经济学、计算机科学等相关学科的发展动态；掌握应用人工智能大模型工具以及多学科文献检索、资料查询的基本方法，具有公共政策与人工智能相关领域的科学研究能力。</w:t>
      </w:r>
    </w:p>
    <w:p>
      <w:pPr>
        <w:spacing w:after="0"/>
        <w:ind w:left="0"/>
        <w:jc w:val="left"/>
      </w:pPr>
      <w:r>
        <w:drawing>
          <wp:inline distT="0" distB="0" distL="0" distR="0">
            <wp:extent cx="5063067"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642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需要完成190学分（含实践学分不低于28.5学分；含美育学分不少于2学分，其中至少在“美学和艺术史论类”或“艺术鉴赏和评论类”课程中修读1学分，并至少参与一项艺术实践活动；劳动教育不少于32学时，并满足劳动周教育要求），包括通识教育课程42学分、全球领导力课程模块105学分、本科多元发展模块25学分，满足融合创新能力8学分等要求。</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四年级结束时，如达到学位要求者授予管理学学士学位与工学学士学位。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r>
        <w:br/>
      </w:r>
      <w:r>
        <w:br/>
      </w:r>
      <w:r>
        <w:rPr>
          <w:rFonts w:ascii="SimSun" w:hAnsi="SimSun"/>
          <w:b w:val="false"/>
          <w:i w:val="false"/>
          <w:color w:val="000000"/>
          <w:sz w:val="21"/>
        </w:rPr>
        <w:t>以3门高难度、大学分的荣誉课程为基础建立本研融通的专业核心课程体系，以学科领域为横、课程内容梯度为纵建立了难度逐级提升的本研融通的专业进阶课程体系。鼓励学生修读荣誉课程。</w:t>
      </w:r>
      <w:r>
        <w:br/>
      </w:r>
      <w:r>
        <w:br/>
      </w:r>
      <w:r>
        <w:rPr>
          <w:rFonts w:ascii="SimSun" w:hAnsi="SimSun"/>
          <w:b w:val="false"/>
          <w:i w:val="false"/>
          <w:color w:val="000000"/>
          <w:sz w:val="21"/>
        </w:rPr>
        <w:t xml:space="preserve">2.训练体系                                        </w:t>
      </w:r>
      <w:r>
        <w:br/>
      </w:r>
      <w:r>
        <w:br/>
      </w:r>
      <w:r>
        <w:rPr>
          <w:rFonts w:ascii="SimSun" w:hAnsi="SimSun"/>
          <w:b w:val="false"/>
          <w:i w:val="false"/>
          <w:color w:val="000000"/>
          <w:sz w:val="21"/>
        </w:rPr>
        <w:t>春风化雨训练体系依托学院“春风化雨导师计划”面向本科轨道学生开展自选学术训练或实务训练，具体修读方式可对应参照本博融通、本硕融通轨道本科阶段项目调整后执行。</w:t>
      </w:r>
      <w:r>
        <w:br/>
      </w:r>
      <w:r>
        <w:br/>
      </w:r>
      <w:r>
        <w:rPr>
          <w:rFonts w:ascii="SimSun" w:hAnsi="SimSun"/>
          <w:b w:val="false"/>
          <w:i w:val="false"/>
          <w:color w:val="000000"/>
          <w:sz w:val="21"/>
        </w:rPr>
        <w:t>本科毕业时，本科轨道学生可将学术或实务训练项目成果直接作为毕业论文申请送审，也可以单独撰写毕业论文。</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（105学分）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要求在下列必修课中，至少选择修读70学分。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管理学原理</w:t>
            </w:r>
            <w:r>
              <w:br/>
            </w:r>
            <w:r>
              <w:br/>
            </w:r>
            <w:r>
              <w:rPr>
                <w:rFonts w:ascii="SimSun" w:hAnsi="SimSun"/>
                <w:b w:val="false"/>
                <w:i w:val="false"/>
                <w:color w:val="000000"/>
                <w:sz w:val="21"/>
              </w:rPr>
              <w:t>Principles of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公共行政学说史</w:t>
            </w:r>
            <w:r>
              <w:br/>
            </w:r>
            <w:r>
              <w:br/>
            </w:r>
            <w:r>
              <w:rPr>
                <w:rFonts w:ascii="SimSun" w:hAnsi="SimSun"/>
                <w:b w:val="false"/>
                <w:i w:val="false"/>
                <w:color w:val="000000"/>
                <w:sz w:val="21"/>
              </w:rPr>
              <w:t>History of Public Administration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数字治理</w:t>
            </w:r>
            <w:r>
              <w:br/>
            </w:r>
            <w:r>
              <w:br/>
            </w:r>
            <w:r>
              <w:rPr>
                <w:rFonts w:ascii="SimSun" w:hAnsi="SimSun"/>
                <w:b w:val="false"/>
                <w:i w:val="false"/>
                <w:color w:val="000000"/>
                <w:sz w:val="21"/>
              </w:rPr>
              <w:t>Digital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w:t>
            </w:r>
            <w:r>
              <w:br/>
            </w:r>
            <w:r>
              <w:br/>
            </w:r>
            <w:r>
              <w:rPr>
                <w:rFonts w:ascii="SimSun" w:hAnsi="SimSun"/>
                <w:b w:val="false"/>
                <w:i w:val="false"/>
                <w:color w:val="000000"/>
                <w:sz w:val="21"/>
              </w:rPr>
              <w:t>Comparative Study of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公务员制度</w:t>
            </w:r>
            <w:r>
              <w:br/>
            </w:r>
            <w:r>
              <w:br/>
            </w:r>
            <w:r>
              <w:rPr>
                <w:rFonts w:ascii="SimSun" w:hAnsi="SimSun"/>
                <w:b w:val="false"/>
                <w:i w:val="false"/>
                <w:color w:val="000000"/>
                <w:sz w:val="21"/>
              </w:rPr>
              <w:t>Civil Servants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人力资源开发与管理</w:t>
            </w:r>
            <w:r>
              <w:br/>
            </w:r>
            <w:r>
              <w:br/>
            </w:r>
            <w:r>
              <w:rPr>
                <w:rFonts w:ascii="SimSun" w:hAnsi="SimSun"/>
                <w:b w:val="false"/>
                <w:i w:val="false"/>
                <w:color w:val="000000"/>
                <w:sz w:val="21"/>
              </w:rPr>
              <w:t>Development and Management of Human Resources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当代中国公共行政</w:t>
            </w:r>
            <w:r>
              <w:br/>
            </w:r>
            <w:r>
              <w:br/>
            </w:r>
            <w:r>
              <w:rPr>
                <w:rFonts w:ascii="SimSun" w:hAnsi="SimSun"/>
                <w:b w:val="false"/>
                <w:i w:val="false"/>
                <w:color w:val="000000"/>
                <w:sz w:val="21"/>
              </w:rPr>
              <w:t>Contemporary Chinese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当代中国公共政策</w:t>
            </w:r>
            <w:r>
              <w:br/>
            </w:r>
            <w:r>
              <w:br/>
            </w:r>
            <w:r>
              <w:rPr>
                <w:rFonts w:ascii="SimSun" w:hAnsi="SimSun"/>
                <w:b w:val="false"/>
                <w:i w:val="false"/>
                <w:color w:val="000000"/>
                <w:sz w:val="21"/>
              </w:rPr>
              <w:t>Contemporary Chinese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公共管理伦理</w:t>
            </w:r>
            <w:r>
              <w:br/>
            </w:r>
            <w:r>
              <w:br/>
            </w:r>
            <w:r>
              <w:rPr>
                <w:rFonts w:ascii="SimSun" w:hAnsi="SimSun"/>
                <w:b w:val="false"/>
                <w:i w:val="false"/>
                <w:color w:val="000000"/>
                <w:sz w:val="21"/>
              </w:rPr>
              <w:t>Public Administration Ethics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公共事业管理</w:t>
            </w:r>
            <w:r>
              <w:br/>
            </w:r>
            <w:r>
              <w:br/>
            </w:r>
            <w:r>
              <w:rPr>
                <w:rFonts w:ascii="SimSun" w:hAnsi="SimSun"/>
                <w:b w:val="false"/>
                <w:i w:val="false"/>
                <w:color w:val="000000"/>
                <w:sz w:val="21"/>
              </w:rPr>
              <w:t>Management in Public Sector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修满33学分。要求在行政管理（公共政策）进阶课程中修读至少25学分，人工智能专业进阶课程修读满至少8学分。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r>
              <w:br/>
            </w:r>
            <w:r>
              <w:br/>
            </w:r>
            <w:r>
              <w:rPr>
                <w:rFonts w:ascii="SimSun" w:hAnsi="SimSun"/>
                <w:b w:val="false"/>
                <w:i w:val="false"/>
                <w:color w:val="000000"/>
                <w:sz w:val="21"/>
              </w:rPr>
              <w:t>Public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公共政策分析</w:t>
            </w:r>
            <w:r>
              <w:br/>
            </w:r>
            <w:r>
              <w:br/>
            </w:r>
            <w:r>
              <w:rPr>
                <w:rFonts w:ascii="SimSun" w:hAnsi="SimSun"/>
                <w:b w:val="false"/>
                <w:i w:val="false"/>
                <w:color w:val="000000"/>
                <w:sz w:val="21"/>
              </w:rPr>
              <w:t>Public Policy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政府财政与预算</w:t>
            </w:r>
            <w:r>
              <w:br/>
            </w:r>
            <w:r>
              <w:br/>
            </w:r>
            <w:r>
              <w:rPr>
                <w:rFonts w:ascii="SimSun" w:hAnsi="SimSun"/>
                <w:b w:val="false"/>
                <w:i w:val="false"/>
                <w:color w:val="000000"/>
                <w:sz w:val="21"/>
              </w:rPr>
              <w:t>Public Finance and Budgeting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应急管理</w:t>
            </w:r>
            <w:r>
              <w:br/>
            </w:r>
            <w:r>
              <w:br/>
            </w:r>
            <w:r>
              <w:rPr>
                <w:rFonts w:ascii="SimSun" w:hAnsi="SimSun"/>
                <w:b w:val="false"/>
                <w:i w:val="false"/>
                <w:color w:val="000000"/>
                <w:sz w:val="21"/>
              </w:rPr>
              <w:t>Emergency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政府运行保障管理</w:t>
            </w:r>
            <w:r>
              <w:br/>
            </w:r>
            <w:r>
              <w:br/>
            </w:r>
            <w:r>
              <w:rPr>
                <w:rFonts w:ascii="SimSun" w:hAnsi="SimSun"/>
                <w:b w:val="false"/>
                <w:i w:val="false"/>
                <w:color w:val="000000"/>
                <w:sz w:val="21"/>
              </w:rPr>
              <w:t>Government Operation and Supply Chain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公共科技政策</w:t>
            </w:r>
            <w:r>
              <w:br/>
            </w:r>
            <w:r>
              <w:br/>
            </w:r>
            <w:r>
              <w:rPr>
                <w:rFonts w:ascii="SimSun" w:hAnsi="SimSun"/>
                <w:b w:val="false"/>
                <w:i w:val="false"/>
                <w:color w:val="000000"/>
                <w:sz w:val="21"/>
              </w:rPr>
              <w:t>Public Policy for Science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社会组织管理</w:t>
            </w:r>
            <w:r>
              <w:br/>
            </w:r>
            <w:r>
              <w:br/>
            </w:r>
            <w:r>
              <w:rPr>
                <w:rFonts w:ascii="SimSun" w:hAnsi="SimSun"/>
                <w:b w:val="false"/>
                <w:i w:val="false"/>
                <w:color w:val="000000"/>
                <w:sz w:val="21"/>
              </w:rPr>
              <w:t>Social Organization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公共卫生政策</w:t>
            </w:r>
            <w:r>
              <w:br/>
            </w:r>
            <w:r>
              <w:br/>
            </w:r>
            <w:r>
              <w:rPr>
                <w:rFonts w:ascii="SimSun" w:hAnsi="SimSun"/>
                <w:b w:val="false"/>
                <w:i w:val="false"/>
                <w:color w:val="000000"/>
                <w:sz w:val="21"/>
              </w:rPr>
              <w:t>Health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产业经济学概论</w:t>
            </w:r>
            <w:r>
              <w:br/>
            </w:r>
            <w:r>
              <w:br/>
            </w:r>
            <w:r>
              <w:rPr>
                <w:rFonts w:ascii="SimSun" w:hAnsi="SimSun"/>
                <w:b w:val="false"/>
                <w:i w:val="false"/>
                <w:color w:val="000000"/>
                <w:sz w:val="21"/>
              </w:rPr>
              <w:t>General Survey of Industrial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GEEC10226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人口与社会保障经济学</w:t>
            </w:r>
            <w:r>
              <w:br/>
            </w:r>
            <w:r>
              <w:br/>
            </w:r>
            <w:r>
              <w:rPr>
                <w:rFonts w:ascii="SimSun" w:hAnsi="SimSun"/>
                <w:b w:val="false"/>
                <w:i w:val="false"/>
                <w:color w:val="000000"/>
                <w:sz w:val="21"/>
              </w:rPr>
              <w:t>Demography and Economics of Social Security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社会政策与社会治理</w:t>
            </w:r>
            <w:r>
              <w:br/>
            </w:r>
            <w:r>
              <w:br/>
            </w:r>
            <w:r>
              <w:rPr>
                <w:rFonts w:ascii="SimSun" w:hAnsi="SimSun"/>
                <w:b w:val="false"/>
                <w:i w:val="false"/>
                <w:color w:val="000000"/>
                <w:sz w:val="21"/>
              </w:rPr>
              <w:t>Social Policy and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公共数据利用与治理</w:t>
            </w:r>
            <w:r>
              <w:br/>
            </w:r>
            <w:r>
              <w:br/>
            </w:r>
            <w:r>
              <w:rPr>
                <w:rFonts w:ascii="SimSun" w:hAnsi="SimSun"/>
                <w:b w:val="false"/>
                <w:i w:val="false"/>
                <w:color w:val="000000"/>
                <w:sz w:val="21"/>
              </w:rPr>
              <w:t>Utilization and Governance of Public Data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城市治理</w:t>
            </w:r>
            <w:r>
              <w:br/>
            </w:r>
            <w:r>
              <w:br/>
            </w:r>
            <w:r>
              <w:rPr>
                <w:rFonts w:ascii="SimSun" w:hAnsi="SimSun"/>
                <w:b w:val="false"/>
                <w:i w:val="false"/>
                <w:color w:val="000000"/>
                <w:sz w:val="21"/>
              </w:rPr>
              <w:t>Urban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环境政策</w:t>
            </w:r>
            <w:r>
              <w:br/>
            </w:r>
            <w:r>
              <w:br/>
            </w:r>
            <w:r>
              <w:rPr>
                <w:rFonts w:ascii="SimSun" w:hAnsi="SimSun"/>
                <w:b w:val="false"/>
                <w:i w:val="false"/>
                <w:color w:val="000000"/>
                <w:sz w:val="21"/>
              </w:rPr>
              <w:t>Environmental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政策调研与写作</w:t>
            </w:r>
            <w:r>
              <w:br/>
            </w:r>
            <w:r>
              <w:br/>
            </w:r>
            <w:r>
              <w:rPr>
                <w:rFonts w:ascii="SimSun" w:hAnsi="SimSun"/>
                <w:b w:val="false"/>
                <w:i w:val="false"/>
                <w:color w:val="000000"/>
                <w:sz w:val="21"/>
              </w:rPr>
              <w:t>Practical Guide to Survey Research and Public Policy Papers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GEXZ10024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政策推演与模拟</w:t>
            </w:r>
            <w:r>
              <w:br/>
            </w:r>
            <w:r>
              <w:br/>
            </w:r>
            <w:r>
              <w:rPr>
                <w:rFonts w:ascii="SimSun" w:hAnsi="SimSun"/>
                <w:b w:val="false"/>
                <w:i w:val="false"/>
                <w:color w:val="000000"/>
                <w:sz w:val="21"/>
              </w:rPr>
              <w:t>Policy Simulation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行政与外交文书</w:t>
            </w:r>
            <w:r>
              <w:br/>
            </w:r>
            <w:r>
              <w:br/>
            </w:r>
            <w:r>
              <w:rPr>
                <w:rFonts w:ascii="SimSun" w:hAnsi="SimSun"/>
                <w:b w:val="false"/>
                <w:i w:val="false"/>
                <w:color w:val="000000"/>
                <w:sz w:val="21"/>
              </w:rPr>
              <w:t>Administrative and Diplomatic Document Writing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国际公共行政</w:t>
            </w:r>
            <w:r>
              <w:br/>
            </w:r>
            <w:r>
              <w:br/>
            </w:r>
            <w:r>
              <w:rPr>
                <w:rFonts w:ascii="SimSun" w:hAnsi="SimSun"/>
                <w:b w:val="false"/>
                <w:i w:val="false"/>
                <w:color w:val="000000"/>
                <w:sz w:val="21"/>
              </w:rPr>
              <w:t>International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AI赋能的政务服务再造</w:t>
            </w:r>
            <w:r>
              <w:br/>
            </w:r>
            <w:r>
              <w:br/>
            </w:r>
            <w:r>
              <w:rPr>
                <w:rFonts w:ascii="SimSun" w:hAnsi="SimSun"/>
                <w:b w:val="false"/>
                <w:i w:val="false"/>
                <w:color w:val="000000"/>
                <w:sz w:val="21"/>
              </w:rPr>
              <w:t>AI-empowered Reengineering of Government Services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城乡治理理论与实践</w:t>
            </w:r>
            <w:r>
              <w:br/>
            </w:r>
            <w:r>
              <w:br/>
            </w:r>
            <w:r>
              <w:rPr>
                <w:rFonts w:ascii="SimSun" w:hAnsi="SimSun"/>
                <w:b w:val="false"/>
                <w:i w:val="false"/>
                <w:color w:val="000000"/>
                <w:sz w:val="21"/>
              </w:rPr>
              <w:t>Theories and Practice of Rural-urban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地理信息系统与空间分析</w:t>
            </w:r>
            <w:r>
              <w:br/>
            </w:r>
            <w:r>
              <w:br/>
            </w:r>
            <w:r>
              <w:rPr>
                <w:rFonts w:ascii="SimSun" w:hAnsi="SimSun"/>
                <w:b w:val="false"/>
                <w:i w:val="false"/>
                <w:color w:val="000000"/>
                <w:sz w:val="21"/>
              </w:rPr>
              <w:t>Geographic Information System and Spatial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港台政治与行政</w:t>
            </w:r>
            <w:r>
              <w:br/>
            </w:r>
            <w:r>
              <w:br/>
            </w:r>
            <w:r>
              <w:rPr>
                <w:rFonts w:ascii="SimSun" w:hAnsi="SimSun"/>
                <w:b w:val="false"/>
                <w:i w:val="false"/>
                <w:color w:val="000000"/>
                <w:sz w:val="21"/>
              </w:rPr>
              <w:t>Politics and Administration in Taiwan and Hong Kong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政府监管理论与实践</w:t>
            </w:r>
            <w:r>
              <w:br/>
            </w:r>
            <w:r>
              <w:br/>
            </w:r>
            <w:r>
              <w:rPr>
                <w:rFonts w:ascii="SimSun" w:hAnsi="SimSun"/>
                <w:b w:val="false"/>
                <w:i w:val="false"/>
                <w:color w:val="000000"/>
                <w:sz w:val="21"/>
              </w:rPr>
              <w:t>Theory and Practice of Government Regulation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其他本科生学术研究计划</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春风化雨训练体系
春风化雨训练体系依托学院“春风化雨导师计划”面向本科轨道学生开展自选学术训练或实务训练，具体修读方式可对应参照本博融通、本硕融通轨道本科阶段项目调整后执行。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