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文物与博物馆学系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文物与博物馆学（科技考古）专业本科培养方案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文物与博物馆学系是国内创办时间最长、影响最大的文博教学与科研机构之一，是全国文物、博物馆专业学位研究生教育指导委员会秘书处单位，拥有40多年的学科发展史，并下设博物馆学、考古学、文化遗产（包括文物学、文物保护）三大方向。文物与博物馆学专业是国家级一流本科专业建设点，近年来，已形成了“考古发掘研究”“文化遗产保护管理”“博物馆阐释传播利用”的“三位一体”式发展格局。文物与博物馆学系拥有10个教学与科研平台、1个国际级教席、1项国家级考古发掘资质，旗下的复旦大学科技考古研究院拥有近10个实验室，是学校双一流建设规划重点项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适应社会主义现代化建设和科技发展，德智体美劳全面发展，既掌握考古学理论方法、断代考古常识、田野考古操作技能，又具备数学、物理、化学、生物以及AI、编程等理工科基础知识并能将其熟练应用于科技考古研究诸领域的新型考古学文理交叉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掌握马克思主义的基本原理和优良的外语听说读写能力；能够将考古学的基本理论方法融会贯通，能够从事田野考古发掘，初步掌握整理编写考古报告的能力；掌握数学、物理、化学、生物学、AI、编程等学科的基础知识，了解国内外科技考古领域的理论前沿和发展动向；掌握文献检索、资料查询的基本方法和手段；初步具备从事考古学，尤其是科技考古研究的能力。</w:t>
      </w:r>
    </w:p>
    <w:p>
      <w:pPr>
        <w:spacing w:after="0"/>
        <w:ind w:left="0"/>
        <w:jc w:val="left"/>
      </w:pPr>
      <w:r>
        <w:drawing>
          <wp:inline distT="0" distB="0" distL="0" distR="0">
            <wp:extent cx="31834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3467"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962400"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62400" cy="10498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149600"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49600" cy="12530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专业进阶路径：144学分</w:t>
      </w:r>
    </w:p>
    <w:p>
      <w:pPr>
        <w:spacing w:after="0"/>
        <w:ind w:left="0"/>
        <w:jc w:val="left"/>
      </w:pPr>
      <w:r>
        <w:rPr>
          <w:rFonts w:ascii="SimSun" w:hAnsi="SimSun"/>
          <w:b w:val="false"/>
          <w:i w:val="false"/>
          <w:color w:val="000000"/>
          <w:sz w:val="21"/>
        </w:rPr>
        <w:t xml:space="preserve">需要完成144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44学分、专业培养课程74学分、专业进阶模块修读15学分、融合创新能力模块11学分。                                                                                                               </w:t>
      </w:r>
    </w:p>
    <w:p>
      <w:pPr>
        <w:spacing w:after="0"/>
        <w:ind w:left="0"/>
        <w:jc w:val="left"/>
      </w:pPr>
      <w:r>
        <w:rPr>
          <w:rFonts w:ascii="SimSun" w:hAnsi="SimSun"/>
          <w:b w:val="false"/>
          <w:i w:val="false"/>
          <w:color w:val="000000"/>
          <w:sz w:val="21"/>
        </w:rPr>
        <w:t>留学生和港澳台侨学生的通识教育课程修读要求，以及留学生的水平测试要求，参见相应修读说明。</w:t>
      </w:r>
    </w:p>
    <w:p>
      <w:pPr>
        <w:spacing w:after="0"/>
        <w:ind w:left="0"/>
        <w:jc w:val="left"/>
      </w:pPr>
      <w:r>
        <w:rPr>
          <w:rFonts w:ascii="SimSun" w:hAnsi="SimSun"/>
          <w:b w:val="false"/>
          <w:i w:val="false"/>
          <w:color w:val="000000"/>
          <w:sz w:val="21"/>
        </w:rPr>
        <w:t>2、 荣誉项目</w:t>
      </w:r>
    </w:p>
    <w:p>
      <w:pPr>
        <w:spacing w:after="0"/>
        <w:ind w:left="0"/>
        <w:jc w:val="left"/>
      </w:pPr>
      <w:r>
        <w:rPr>
          <w:rFonts w:ascii="SimSun" w:hAnsi="SimSun"/>
          <w:b w:val="false"/>
          <w:i w:val="false"/>
          <w:color w:val="000000"/>
          <w:sz w:val="21"/>
        </w:rPr>
        <w:t>荣誉项目课程设置和修读要求请见文物与博物馆学系“本科荣誉项目”实施方案。下载地址：https://jwc.fudan.edu.cn/（复旦大学教务处）专业培养-常用文档。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3、跨学科发展路径：144学分</w:t>
      </w:r>
    </w:p>
    <w:p>
      <w:pPr>
        <w:spacing w:after="0"/>
        <w:ind w:left="0"/>
        <w:jc w:val="left"/>
      </w:pPr>
      <w:r>
        <w:rPr>
          <w:rFonts w:ascii="SimSun" w:hAnsi="SimSun"/>
          <w:b w:val="false"/>
          <w:i w:val="false"/>
          <w:color w:val="000000"/>
          <w:sz w:val="21"/>
        </w:rPr>
        <w:t xml:space="preserve"> 需要完成通识教育课程44学分、专业培养课程74学分、融合创新能力模块11学分，修读1个非本专业独立开设的微专业（学程），具体要求见教务处微专业（学程）项目网页。</w:t>
      </w:r>
    </w:p>
    <w:p>
      <w:pPr>
        <w:spacing w:after="0"/>
        <w:ind w:left="0"/>
        <w:jc w:val="left"/>
      </w:pPr>
      <w:r>
        <w:rPr>
          <w:rFonts w:ascii="SimSun" w:hAnsi="SimSun"/>
          <w:b w:val="false"/>
          <w:i w:val="false"/>
          <w:color w:val="000000"/>
          <w:sz w:val="21"/>
        </w:rPr>
        <w:t>4、辅修学士学位路径：184学分</w:t>
      </w:r>
    </w:p>
    <w:p>
      <w:pPr>
        <w:spacing w:after="0"/>
        <w:ind w:left="0"/>
        <w:jc w:val="left"/>
      </w:pPr>
      <w:r>
        <w:rPr>
          <w:rFonts w:ascii="SimSun" w:hAnsi="SimSun"/>
          <w:b w:val="false"/>
          <w:i w:val="false"/>
          <w:color w:val="000000"/>
          <w:sz w:val="21"/>
        </w:rPr>
        <w:t>需要完成通识教育课程44学分、专业培养课程74学分、专业进阶模块15学分、融合创新能力模块11学分，修读1个辅修学士学位项目，具体要求见教务处辅修学士学位项目网页。</w:t>
      </w:r>
    </w:p>
    <w:p>
      <w:pPr>
        <w:spacing w:after="0"/>
        <w:ind w:left="0"/>
        <w:jc w:val="left"/>
      </w:pPr>
      <w:r>
        <w:rPr>
          <w:rFonts w:ascii="SimSun" w:hAnsi="SimSun"/>
          <w:b w:val="false"/>
          <w:i w:val="false"/>
          <w:color w:val="000000"/>
          <w:sz w:val="21"/>
        </w:rPr>
        <w:t>5、创新创业路径：144学分</w:t>
      </w:r>
    </w:p>
    <w:p>
      <w:pPr>
        <w:spacing w:after="0"/>
        <w:ind w:left="0"/>
        <w:jc w:val="left"/>
      </w:pPr>
      <w:r>
        <w:rPr>
          <w:rFonts w:ascii="SimSun" w:hAnsi="SimSun"/>
          <w:b w:val="false"/>
          <w:i w:val="false"/>
          <w:color w:val="000000"/>
          <w:sz w:val="21"/>
        </w:rPr>
        <w:t xml:space="preserve"> 需要完成通识教育课程44学分、专业培养课程74学分、融合创新能力模块11学分，修读1个创新创业学院开设的创新创业微专业（学程），具体要求见教务处微专业（学程）项目网页。</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4年级结束时，如达到学士学位要求者授予历史学学士学位。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（2）以符合学生毕业时所在专业教学培养方案规定的所有课程的有效成绩为准计算平均绩点，且此平均绩点不低于2.0。</w:t>
      </w:r>
    </w:p>
    <w:p>
      <w:pPr>
        <w:spacing w:after="0"/>
        <w:ind w:left="0"/>
        <w:jc w:val="left"/>
      </w:pPr>
      <w:r>
        <w:rPr>
          <w:rFonts w:ascii="SimSun" w:hAnsi="SimSun"/>
          <w:b w:val="false"/>
          <w:i w:val="false"/>
          <w:color w:val="000000"/>
          <w:sz w:val="21"/>
        </w:rPr>
        <w:t>（3）达到文博系“本科荣誉证书”获得条件的授予“本科荣誉证书”，具体要求请见文博系“荣誉项目”实施方案。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 课程体系</w:t>
      </w:r>
    </w:p>
    <w:p>
      <w:pPr>
        <w:spacing w:after="0"/>
        <w:ind w:left="0"/>
        <w:jc w:val="left"/>
      </w:pPr>
      <w:r>
        <w:rPr>
          <w:rFonts w:ascii="SimSun" w:hAnsi="SimSun"/>
          <w:b w:val="false"/>
          <w:i w:val="false"/>
          <w:color w:val="000000"/>
          <w:sz w:val="21"/>
        </w:rPr>
        <w:t>考古学学科基础课程与科技考古方向多学科方法并重的课程体系，以考古学课程与田野考古实践为基础，以科技考古各学科专业领域为横、课程内容梯度为纵建立了难度逐级提升的专业进阶课程体系。</w:t>
      </w:r>
    </w:p>
    <w:p>
      <w:pPr>
        <w:spacing w:after="0"/>
        <w:ind w:left="0"/>
        <w:jc w:val="left"/>
      </w:pPr>
      <w:r>
        <w:rPr>
          <w:rFonts w:ascii="SimSun" w:hAnsi="SimSun"/>
          <w:b w:val="false"/>
          <w:i w:val="false"/>
          <w:color w:val="000000"/>
          <w:sz w:val="21"/>
        </w:rPr>
        <w:t>2. 科研体系</w:t>
      </w:r>
    </w:p>
    <w:p>
      <w:pPr>
        <w:spacing w:after="0"/>
        <w:ind w:left="0"/>
        <w:jc w:val="left"/>
      </w:pPr>
      <w:r>
        <w:rPr>
          <w:rFonts w:ascii="SimSun" w:hAnsi="SimSun"/>
          <w:b w:val="false"/>
          <w:i w:val="false"/>
          <w:color w:val="000000"/>
          <w:sz w:val="21"/>
        </w:rPr>
        <w:t>建立螺旋递进的全周期科研训练体系，给低年级本科生配备学业导师，鼓励师生共创，通过复芏计划（FDUROP）等项目引导学生在“做中学、学中悟、悟中创”。通过科技考古实验训练、田野考古提升训练、文物保护实验训练等，引导学生早参加科研课题，培育学术兴趣，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课程设置详见专项教育课程（其中，人工智能教学专项修读B1类课程3学分）。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1"/>
        <w:gridCol w:w="792"/>
        <w:gridCol w:w="792"/>
        <w:gridCol w:w="1110"/>
        <w:gridCol w:w="1901"/>
        <w:gridCol w:w="792"/>
        <w:gridCol w:w="792"/>
        <w:gridCol w:w="793"/>
        <w:gridCol w:w="793"/>
        <w:gridCol w:w="1110"/>
        <w:gridCol w:w="1588"/>
      </w:tblGrid>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w:t>
            </w:r>
            <w:r>
              <w:br/>
            </w:r>
            <w:r>
              <w:br/>
            </w:r>
            <w:r>
              <w:rPr>
                <w:rFonts w:ascii="SimSun" w:hAnsi="SimSun"/>
                <w:b w:val="false"/>
                <w:i w:val="false"/>
                <w:color w:val="000000"/>
                <w:sz w:val="21"/>
              </w:rPr>
              <w:t>The History of Ancient China</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科技考古导论（H）</w:t>
            </w:r>
            <w:r>
              <w:br/>
            </w:r>
            <w:r>
              <w:br/>
            </w:r>
            <w:r>
              <w:rPr>
                <w:rFonts w:ascii="SimSun" w:hAnsi="SimSun"/>
                <w:b w:val="false"/>
                <w:i w:val="false"/>
                <w:color w:val="000000"/>
                <w:sz w:val="21"/>
              </w:rPr>
              <w:t>Introduction to Archaeological Science(H)</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ARCH20010h</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旧石器时代考古</w:t>
            </w:r>
            <w:r>
              <w:br/>
            </w:r>
            <w:r>
              <w:br/>
            </w:r>
            <w:r>
              <w:rPr>
                <w:rFonts w:ascii="SimSun" w:hAnsi="SimSun"/>
                <w:b w:val="false"/>
                <w:i w:val="false"/>
                <w:color w:val="000000"/>
                <w:sz w:val="21"/>
              </w:rPr>
              <w:t>Paleolithic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ARCH20006</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新石器时代考古</w:t>
            </w:r>
            <w:r>
              <w:br/>
            </w:r>
            <w:r>
              <w:br/>
            </w:r>
            <w:r>
              <w:rPr>
                <w:rFonts w:ascii="SimSun" w:hAnsi="SimSun"/>
                <w:b w:val="false"/>
                <w:i w:val="false"/>
                <w:color w:val="000000"/>
                <w:sz w:val="21"/>
              </w:rPr>
              <w:t>Neolithic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ARCH20007</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文物保护基础</w:t>
            </w:r>
            <w:r>
              <w:br/>
            </w:r>
            <w:r>
              <w:br/>
            </w:r>
            <w:r>
              <w:rPr>
                <w:rFonts w:ascii="SimSun" w:hAnsi="SimSun"/>
                <w:b w:val="false"/>
                <w:i w:val="false"/>
                <w:color w:val="000000"/>
                <w:sz w:val="21"/>
              </w:rPr>
              <w:t>Basics of Cultural Relic Conservation</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CULT20001</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夏商周考古</w:t>
            </w:r>
            <w:r>
              <w:br/>
            </w:r>
            <w:r>
              <w:br/>
            </w:r>
            <w:r>
              <w:rPr>
                <w:rFonts w:ascii="SimSun" w:hAnsi="SimSun"/>
                <w:b w:val="false"/>
                <w:i w:val="false"/>
                <w:color w:val="000000"/>
                <w:sz w:val="21"/>
              </w:rPr>
              <w:t>Archaeology of Xia, Shang and Zhou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ARCH20005</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汉唐考古</w:t>
            </w:r>
            <w:r>
              <w:br/>
            </w:r>
            <w:r>
              <w:br/>
            </w:r>
            <w:r>
              <w:rPr>
                <w:rFonts w:ascii="SimSun" w:hAnsi="SimSun"/>
                <w:b w:val="false"/>
                <w:i w:val="false"/>
                <w:color w:val="000000"/>
                <w:sz w:val="21"/>
              </w:rPr>
              <w:t>Archaeology of Han and Tang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田野考古学</w:t>
            </w:r>
            <w:r>
              <w:br/>
            </w:r>
            <w:r>
              <w:br/>
            </w:r>
            <w:r>
              <w:rPr>
                <w:rFonts w:ascii="SimSun" w:hAnsi="SimSun"/>
                <w:b w:val="false"/>
                <w:i w:val="false"/>
                <w:color w:val="000000"/>
                <w:sz w:val="21"/>
              </w:rPr>
              <w:t>Field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ARCH20008</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宋元明考古</w:t>
            </w:r>
            <w:r>
              <w:br/>
            </w:r>
            <w:r>
              <w:br/>
            </w:r>
            <w:r>
              <w:rPr>
                <w:rFonts w:ascii="SimSun" w:hAnsi="SimSun"/>
                <w:b w:val="false"/>
                <w:i w:val="false"/>
                <w:color w:val="000000"/>
                <w:sz w:val="21"/>
              </w:rPr>
              <w:t>Archaeology of Song, Yuan and Ming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AI考古理论与实践</w:t>
            </w:r>
            <w:r>
              <w:br/>
            </w:r>
            <w:r>
              <w:br/>
            </w:r>
            <w:r>
              <w:rPr>
                <w:rFonts w:ascii="SimSun" w:hAnsi="SimSun"/>
                <w:b w:val="false"/>
                <w:i w:val="false"/>
                <w:color w:val="000000"/>
                <w:sz w:val="21"/>
              </w:rPr>
              <w:t>Theoretical and Practical Applications of AI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田野考古技术</w:t>
            </w:r>
            <w:r>
              <w:br/>
            </w:r>
            <w:r>
              <w:br/>
            </w:r>
            <w:r>
              <w:rPr>
                <w:rFonts w:ascii="SimSun" w:hAnsi="SimSun"/>
                <w:b w:val="false"/>
                <w:i w:val="false"/>
                <w:color w:val="000000"/>
                <w:sz w:val="21"/>
              </w:rPr>
              <w:t>Field Archaeological Skills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ARCH20017</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田野考古实践教学</w:t>
            </w:r>
            <w:r>
              <w:br/>
            </w:r>
            <w:r>
              <w:br/>
            </w:r>
            <w:r>
              <w:rPr>
                <w:rFonts w:ascii="SimSun" w:hAnsi="SimSun"/>
                <w:b w:val="false"/>
                <w:i w:val="false"/>
                <w:color w:val="000000"/>
                <w:sz w:val="21"/>
              </w:rPr>
              <w:t>Field Archaeology Practice</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216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考古统计学</w:t>
            </w:r>
            <w:r>
              <w:br/>
            </w:r>
            <w:r>
              <w:br/>
            </w:r>
            <w:r>
              <w:rPr>
                <w:rFonts w:ascii="SimSun" w:hAnsi="SimSun"/>
                <w:b w:val="false"/>
                <w:i w:val="false"/>
                <w:color w:val="000000"/>
                <w:sz w:val="21"/>
              </w:rPr>
              <w:t>Archaeological Statistics</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ARCH30005</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包括专业进阶（含荣誉项目）、跨学科发展（含辅修学士学位路径）和创新创业等不同路径，要求在院系专业导师指导下选择一条发展路径，按路径要求修读课程。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要求在专业进阶课程中修满15学分。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考古学思想史</w:t>
            </w:r>
            <w:r>
              <w:br/>
            </w:r>
            <w:r>
              <w:br/>
            </w:r>
            <w:r>
              <w:rPr>
                <w:rFonts w:ascii="SimSun" w:hAnsi="SimSun"/>
                <w:b w:val="false"/>
                <w:i w:val="false"/>
                <w:color w:val="000000"/>
                <w:sz w:val="21"/>
              </w:rPr>
              <w:t>History of Archaeological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动物考古学</w:t>
            </w:r>
            <w:r>
              <w:br/>
            </w:r>
            <w:r>
              <w:br/>
            </w:r>
            <w:r>
              <w:rPr>
                <w:rFonts w:ascii="SimSun" w:hAnsi="SimSun"/>
                <w:b w:val="false"/>
                <w:i w:val="false"/>
                <w:color w:val="000000"/>
                <w:sz w:val="21"/>
              </w:rPr>
              <w:t>Zooarchaeology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植物考古学</w:t>
            </w:r>
            <w:r>
              <w:br/>
            </w:r>
            <w:r>
              <w:br/>
            </w:r>
            <w:r>
              <w:rPr>
                <w:rFonts w:ascii="SimSun" w:hAnsi="SimSun"/>
                <w:b w:val="false"/>
                <w:i w:val="false"/>
                <w:color w:val="000000"/>
                <w:sz w:val="21"/>
              </w:rPr>
              <w:t>Palaeoethnobotany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w:t>
            </w:r>
            <w:r>
              <w:br/>
            </w:r>
            <w:r>
              <w:br/>
            </w:r>
            <w:r>
              <w:rPr>
                <w:rFonts w:ascii="SimSun" w:hAnsi="SimSun"/>
                <w:b w:val="false"/>
                <w:i w:val="false"/>
                <w:color w:val="000000"/>
                <w:sz w:val="21"/>
              </w:rPr>
              <w:t>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海上丝绸之路考古概论</w:t>
            </w:r>
            <w:r>
              <w:br/>
            </w:r>
            <w:r>
              <w:br/>
            </w:r>
            <w:r>
              <w:rPr>
                <w:rFonts w:ascii="SimSun" w:hAnsi="SimSun"/>
                <w:b w:val="false"/>
                <w:i w:val="false"/>
                <w:color w:val="000000"/>
                <w:sz w:val="21"/>
              </w:rPr>
              <w:t>Introduction to Maritime Silkroad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水下考古学导论</w:t>
            </w:r>
            <w:r>
              <w:br/>
            </w:r>
            <w:r>
              <w:br/>
            </w:r>
            <w:r>
              <w:rPr>
                <w:rFonts w:ascii="SimSun" w:hAnsi="SimSun"/>
                <w:b w:val="false"/>
                <w:i w:val="false"/>
                <w:color w:val="000000"/>
                <w:sz w:val="21"/>
              </w:rPr>
              <w:t>Introduction to Underwater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分子考古学</w:t>
            </w:r>
            <w:r>
              <w:br/>
            </w:r>
            <w:r>
              <w:br/>
            </w:r>
            <w:r>
              <w:rPr>
                <w:rFonts w:ascii="SimSun" w:hAnsi="SimSun"/>
                <w:b w:val="false"/>
                <w:i w:val="false"/>
                <w:color w:val="000000"/>
                <w:sz w:val="21"/>
              </w:rPr>
              <w:t>Molecular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体质人类学</w:t>
            </w:r>
            <w:r>
              <w:br/>
            </w:r>
            <w:r>
              <w:br/>
            </w:r>
            <w:r>
              <w:rPr>
                <w:rFonts w:ascii="SimSun" w:hAnsi="SimSun"/>
                <w:b w:val="false"/>
                <w:i w:val="false"/>
                <w:color w:val="000000"/>
                <w:sz w:val="21"/>
              </w:rPr>
              <w:t>Physical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w:t>
            </w:r>
            <w:r>
              <w:br/>
            </w:r>
            <w:r>
              <w:br/>
            </w:r>
            <w:r>
              <w:rPr>
                <w:rFonts w:ascii="SimSun" w:hAnsi="SimSun"/>
                <w:b w:val="false"/>
                <w:i w:val="false"/>
                <w:color w:val="000000"/>
                <w:sz w:val="21"/>
              </w:rPr>
              <w:t>Isotope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农业考古</w:t>
            </w:r>
            <w:r>
              <w:br/>
            </w:r>
            <w:r>
              <w:br/>
            </w:r>
            <w:r>
              <w:rPr>
                <w:rFonts w:ascii="SimSun" w:hAnsi="SimSun"/>
                <w:b w:val="false"/>
                <w:i w:val="false"/>
                <w:color w:val="000000"/>
                <w:sz w:val="21"/>
              </w:rPr>
              <w:t>Agricultural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石窟寺考古</w:t>
            </w:r>
            <w:r>
              <w:br/>
            </w:r>
            <w:r>
              <w:br/>
            </w:r>
            <w:r>
              <w:rPr>
                <w:rFonts w:ascii="SimSun" w:hAnsi="SimSun"/>
                <w:b w:val="false"/>
                <w:i w:val="false"/>
                <w:color w:val="000000"/>
                <w:sz w:val="21"/>
              </w:rPr>
              <w:t>Grotto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世界考古概论</w:t>
            </w:r>
            <w:r>
              <w:br/>
            </w:r>
            <w:r>
              <w:br/>
            </w:r>
            <w:r>
              <w:rPr>
                <w:rFonts w:ascii="SimSun" w:hAnsi="SimSun"/>
                <w:b w:val="false"/>
                <w:i w:val="false"/>
                <w:color w:val="000000"/>
                <w:sz w:val="21"/>
              </w:rPr>
              <w:t>Introduction to World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w:t>
            </w:r>
            <w:r>
              <w:br/>
            </w:r>
            <w:r>
              <w:br/>
            </w:r>
            <w:r>
              <w:rPr>
                <w:rFonts w:ascii="SimSun" w:hAnsi="SimSun"/>
                <w:b w:val="false"/>
                <w:i w:val="false"/>
                <w:color w:val="000000"/>
                <w:sz w:val="21"/>
              </w:rPr>
              <w:t>Public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冶金考古</w:t>
            </w:r>
            <w:r>
              <w:br/>
            </w:r>
            <w:r>
              <w:br/>
            </w:r>
            <w:r>
              <w:rPr>
                <w:rFonts w:ascii="SimSun" w:hAnsi="SimSun"/>
                <w:b w:val="false"/>
                <w:i w:val="false"/>
                <w:color w:val="000000"/>
                <w:sz w:val="21"/>
              </w:rPr>
              <w:t>Archaeometallurgy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环境考古学</w:t>
            </w:r>
            <w:r>
              <w:br/>
            </w:r>
            <w:r>
              <w:br/>
            </w:r>
            <w:r>
              <w:rPr>
                <w:rFonts w:ascii="SimSun" w:hAnsi="SimSun"/>
                <w:b w:val="false"/>
                <w:i w:val="false"/>
                <w:color w:val="000000"/>
                <w:sz w:val="21"/>
              </w:rPr>
              <w:t>Environmental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古人类学</w:t>
            </w:r>
            <w:r>
              <w:br/>
            </w:r>
            <w:r>
              <w:br/>
            </w:r>
            <w:r>
              <w:rPr>
                <w:rFonts w:ascii="SimSun" w:hAnsi="SimSun"/>
                <w:b w:val="false"/>
                <w:i w:val="false"/>
                <w:color w:val="000000"/>
                <w:sz w:val="21"/>
              </w:rPr>
              <w:t>Paleoanthropology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博物馆学概论</w:t>
            </w:r>
            <w:r>
              <w:br/>
            </w:r>
            <w:r>
              <w:br/>
            </w:r>
            <w:r>
              <w:rPr>
                <w:rFonts w:ascii="SimSun" w:hAnsi="SimSun"/>
                <w:b w:val="false"/>
                <w:i w:val="false"/>
                <w:color w:val="000000"/>
                <w:sz w:val="21"/>
              </w:rPr>
              <w:t>Introduction to Museology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文化遗产导论</w:t>
            </w:r>
            <w:r>
              <w:br/>
            </w:r>
            <w:r>
              <w:br/>
            </w:r>
            <w:r>
              <w:rPr>
                <w:rFonts w:ascii="SimSun" w:hAnsi="SimSun"/>
                <w:b w:val="false"/>
                <w:i w:val="false"/>
                <w:color w:val="000000"/>
                <w:sz w:val="21"/>
              </w:rPr>
              <w:t>Introduction to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文物研究导论</w:t>
            </w:r>
            <w:r>
              <w:br/>
            </w:r>
            <w:r>
              <w:br/>
            </w:r>
            <w:r>
              <w:rPr>
                <w:rFonts w:ascii="SimSun" w:hAnsi="SimSun"/>
                <w:b w:val="false"/>
                <w:i w:val="false"/>
                <w:color w:val="000000"/>
                <w:sz w:val="21"/>
              </w:rPr>
              <w:t>Introduction to the Study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中国古代建筑史</w:t>
            </w:r>
            <w:r>
              <w:br/>
            </w:r>
            <w:r>
              <w:br/>
            </w:r>
            <w:r>
              <w:rPr>
                <w:rFonts w:ascii="SimSun" w:hAnsi="SimSun"/>
                <w:b w:val="false"/>
                <w:i w:val="false"/>
                <w:color w:val="000000"/>
                <w:sz w:val="21"/>
              </w:rPr>
              <w:t>History of Architectural Development in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中国科技史概论</w:t>
            </w:r>
            <w:r>
              <w:br/>
            </w:r>
            <w:r>
              <w:br/>
            </w:r>
            <w:r>
              <w:rPr>
                <w:rFonts w:ascii="SimSun" w:hAnsi="SimSun"/>
                <w:b w:val="false"/>
                <w:i w:val="false"/>
                <w:color w:val="000000"/>
                <w:sz w:val="21"/>
              </w:rPr>
              <w:t>Introduction to History of Science and Technology in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文物保护技术</w:t>
            </w:r>
            <w:r>
              <w:br/>
            </w:r>
            <w:r>
              <w:br/>
            </w:r>
            <w:r>
              <w:rPr>
                <w:rFonts w:ascii="SimSun" w:hAnsi="SimSun"/>
                <w:b w:val="false"/>
                <w:i w:val="false"/>
                <w:color w:val="000000"/>
                <w:sz w:val="21"/>
              </w:rPr>
              <w:t>Techniques of Cultural Relics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文物分析技术</w:t>
            </w:r>
            <w:r>
              <w:br/>
            </w:r>
            <w:r>
              <w:br/>
            </w:r>
            <w:r>
              <w:rPr>
                <w:rFonts w:ascii="SimSun" w:hAnsi="SimSun"/>
                <w:b w:val="false"/>
                <w:i w:val="false"/>
                <w:color w:val="000000"/>
                <w:sz w:val="21"/>
              </w:rPr>
              <w:t>Analyzing Techniques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荣誉项目课程设置和修读要求请见文物与博物馆学系本科“荣誉项目”实施方案。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非本专业独立开设的微专业（学程），可选择专业学程或跨专业学程。微专业（学程）课程具体要求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修满15学分，要求修读1个创新创业学院开设的创新创业微专业（学程）。创新创业微专业（学程）课程详见教务处网页，下载地址：https://jwc.fudan.edu.cn/（复旦大学教务处）-专业培养-常用文档。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(五)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需完成至少11学分（必修7学分，选修4学分）。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纸质文物修复</w:t>
            </w:r>
            <w:r>
              <w:br/>
            </w:r>
            <w:r>
              <w:br/>
            </w:r>
            <w:r>
              <w:rPr>
                <w:rFonts w:ascii="SimSun" w:hAnsi="SimSun"/>
                <w:b w:val="false"/>
                <w:i w:val="false"/>
                <w:color w:val="000000"/>
                <w:sz w:val="21"/>
              </w:rPr>
              <w:t>Restoration of Paper</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古陶瓷修复</w:t>
            </w:r>
            <w:r>
              <w:br/>
            </w:r>
            <w:r>
              <w:br/>
            </w:r>
            <w:r>
              <w:rPr>
                <w:rFonts w:ascii="SimSun" w:hAnsi="SimSun"/>
                <w:b w:val="false"/>
                <w:i w:val="false"/>
                <w:color w:val="000000"/>
                <w:sz w:val="21"/>
              </w:rPr>
              <w:t>Restoration of Ancient Ceramics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不少于10场，需提交学习报告。</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人骨考古实验训练（根据实际由教师招募）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科研实践Ⅳ</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科研实践Ⅴ</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科研实践Ⅵ</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科研实践Ⅶ</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田野考古提升训练（根据实际由教师招募）</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鼓励学生承担复芏计划（FDUROP）项目，详见复旦大学本科生学术研究资助计划管理办法。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