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2025国际政治专业-政治学-本硕融通培养方案（普通学生适用）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国际政治专业为国家级一流本科建设专业，主要方向包括：国际关系理论、大国战略和大国关系、中国对外战略和对外关系、国际安全与国家安全、全球治理与国际组织、全球发展、宗教与国际关系、美国研究、欧洲研究、亚太研究、金砖国家与全球南方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秉持“宽口径、厚基础、重能力、求创新”的人才培养要求，构建“2+X+Y”特色培养模式（2是通识和专业教育，X是多元发展路径，Y为融合创新能力），致力于培养德智体美劳全面发展的复合型高级专门人才。通过系统的专业教育，毕业生将具备扎实的马克思主义理论素养、全面的科学研究能力、社会调查能力和组织协调能力，能在党政机关、企事业单位从事外交、外事、外宣和管理等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培养标准：</w:t>
      </w:r>
      <w:r>
        <w:br/>
      </w:r>
      <w:r>
        <w:br/>
      </w:r>
      <w:r>
        <w:rPr>
          <w:rFonts w:ascii="SimSun" w:hAnsi="SimSun"/>
          <w:b w:val="false"/>
          <w:i w:val="false"/>
          <w:color w:val="000000"/>
          <w:sz w:val="21"/>
        </w:rPr>
        <w:t>（1）具有本学科扎实的理论基础；</w:t>
      </w:r>
      <w:r>
        <w:br/>
      </w:r>
      <w:r>
        <w:br/>
      </w:r>
      <w:r>
        <w:rPr>
          <w:rFonts w:ascii="SimSun" w:hAnsi="SimSun"/>
          <w:b w:val="false"/>
          <w:i w:val="false"/>
          <w:color w:val="000000"/>
          <w:sz w:val="21"/>
        </w:rPr>
        <w:t>（2）能独立设计并完成具有理论价值和现实意义的专题研究；</w:t>
      </w:r>
      <w:r>
        <w:br/>
      </w:r>
      <w:r>
        <w:br/>
      </w:r>
      <w:r>
        <w:rPr>
          <w:rFonts w:ascii="SimSun" w:hAnsi="SimSun"/>
          <w:b w:val="false"/>
          <w:i w:val="false"/>
          <w:color w:val="000000"/>
          <w:sz w:val="21"/>
        </w:rPr>
        <w:t>（3）具备较强的实证调研能力和学术写作能力；</w:t>
      </w:r>
      <w:r>
        <w:br/>
      </w:r>
      <w:r>
        <w:br/>
      </w:r>
      <w:r>
        <w:rPr>
          <w:rFonts w:ascii="SimSun" w:hAnsi="SimSun"/>
          <w:b w:val="false"/>
          <w:i w:val="false"/>
          <w:color w:val="000000"/>
          <w:sz w:val="21"/>
        </w:rPr>
        <w:t>（4）熟练运用一门外语进行专业文献研读；</w:t>
      </w:r>
      <w:r>
        <w:br/>
      </w:r>
      <w:r>
        <w:br/>
      </w:r>
      <w:r>
        <w:rPr>
          <w:rFonts w:ascii="SimSun" w:hAnsi="SimSun"/>
          <w:b w:val="false"/>
          <w:i w:val="false"/>
          <w:color w:val="000000"/>
          <w:sz w:val="21"/>
        </w:rPr>
        <w:t>（5）硕士学位论文应达到在国内核心期刊发表的水准。</w:t>
      </w:r>
    </w:p>
    <w:p>
      <w:pPr>
        <w:spacing w:after="0"/>
        <w:ind w:left="0"/>
        <w:jc w:val="left"/>
      </w:pPr>
      <w:r>
        <w:drawing>
          <wp:inline distT="0" distB="0" distL="0" distR="0">
            <wp:extent cx="5063067" cy="1828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828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毕业论文按照本硕轨道撰写方法完成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政治学-国际政治学术学位硕士培养方案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硕期间必须修满教学计划规定的152学分（含实践学分不低于23学分；含美育学分不少于2学分，其中至少在“美学和艺术史论类”或“艺术鉴赏和评论类”课程中修读1学分，并至少参与一项艺术实践活动；劳动教育不少于32学时，并满足劳动周教育要求），包括通识教育课程44学分（其中研究生学位课3学分）、全球领导力课程模块59学分、本硕融通衔接模块25学分、硕士实务实践高阶模块10学分、满足融合创新能力模块的修读。</w:t>
      </w:r>
      <w:r>
        <w:br/>
      </w:r>
      <w:r>
        <w:br/>
      </w:r>
      <w:r>
        <w:rPr>
          <w:rFonts w:ascii="SimSun" w:hAnsi="SimSun"/>
          <w:b w:val="false"/>
          <w:i w:val="false"/>
          <w:color w:val="000000"/>
          <w:sz w:val="21"/>
        </w:rPr>
        <w:t>其中，本科学段需要完成135学分，包括通识教育课程41学分、全球领导力课程59学分，同时满足融合创新能力模块要求的修读。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r>
        <w:br/>
      </w:r>
      <w:r>
        <w:br/>
      </w:r>
      <w:r>
        <w:rPr>
          <w:rFonts w:ascii="SimSun" w:hAnsi="SimSun"/>
          <w:b w:val="false"/>
          <w:i w:val="false"/>
          <w:color w:val="000000"/>
          <w:sz w:val="21"/>
        </w:rPr>
        <w:t>四年级结束时，如达到学士学位要求者授予法学学士学位。</w:t>
      </w:r>
      <w:r>
        <w:br/>
      </w:r>
      <w:r>
        <w:br/>
      </w:r>
      <w:r>
        <w:rPr>
          <w:rFonts w:ascii="SimSun" w:hAnsi="SimSun"/>
          <w:b w:val="false"/>
          <w:i w:val="false"/>
          <w:color w:val="000000"/>
          <w:sz w:val="21"/>
        </w:rPr>
        <w:t>（二）研究生学位</w:t>
      </w:r>
      <w:r>
        <w:br/>
      </w:r>
      <w:r>
        <w:br/>
      </w:r>
      <w:r>
        <w:rPr>
          <w:rFonts w:ascii="SimSun" w:hAnsi="SimSun"/>
          <w:b w:val="false"/>
          <w:i w:val="false"/>
          <w:color w:val="000000"/>
          <w:sz w:val="21"/>
        </w:rPr>
        <w:t>如达到硕士学位要求者授予法学硕士学位。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本硕双导师制实务实践训练体系注重培养学生在国家治理与全球治理领域的实务工作能力，增强应对复杂治理问题的实践经验和专业素养，提升就业竞争力与胜任力。双导师拟由学术导师（专任教师）与行业导师（政府、企事业单位等业内人士）组成。</w:t>
      </w:r>
      <w:r>
        <w:br/>
      </w:r>
      <w:r>
        <w:br/>
      </w:r>
      <w:r>
        <w:rPr>
          <w:rFonts w:ascii="SimSun" w:hAnsi="SimSun"/>
          <w:b w:val="false"/>
          <w:i w:val="false"/>
          <w:color w:val="000000"/>
          <w:sz w:val="21"/>
        </w:rPr>
        <w:t xml:space="preserve"> 1.本科阶段培养设计</w:t>
      </w:r>
      <w:r>
        <w:br/>
      </w:r>
      <w:r>
        <w:br/>
      </w:r>
      <w:r>
        <w:rPr>
          <w:rFonts w:ascii="SimSun" w:hAnsi="SimSun"/>
          <w:b w:val="false"/>
          <w:i w:val="false"/>
          <w:color w:val="000000"/>
          <w:sz w:val="21"/>
        </w:rPr>
        <w:t>本科阶段将国务学院“中国之治”国情育人项目、“全球之治”世情育人项目以及相关学科竞赛列入本硕融通轨道学生必修项目清单。“中国之治”国情育人项目包括：中国之治社会实践项目（重点项目+日常化项目）；“全球之治”世情育人项目包括：青年全球治理创新设计大赛（YICGG）、澜沧江-湄公河”流域治理与发展青年创新设计大赛（YICMG）、“荣昶学者”全球治理人才培养专项计划等；学科竞赛包括“中国之治”治理案例分析大赛以及复旦大学本科生学科竞赛工作管理办法适用竞赛表所列本学科相关赛事及其他本学院认定的高水平、有影响力的赛事。</w:t>
      </w:r>
      <w:r>
        <w:br/>
      </w:r>
      <w:r>
        <w:br/>
      </w:r>
      <w:r>
        <w:rPr>
          <w:rFonts w:ascii="SimSun" w:hAnsi="SimSun"/>
          <w:b w:val="false"/>
          <w:i w:val="false"/>
          <w:color w:val="000000"/>
          <w:sz w:val="21"/>
        </w:rPr>
        <w:t>在该阶段，学生可选择以下两种方式之一完成培养：</w:t>
      </w:r>
      <w:r>
        <w:br/>
      </w:r>
      <w:r>
        <w:br/>
      </w:r>
      <w:r>
        <w:rPr>
          <w:rFonts w:ascii="SimSun" w:hAnsi="SimSun"/>
          <w:b w:val="false"/>
          <w:i w:val="false"/>
          <w:color w:val="000000"/>
          <w:sz w:val="21"/>
        </w:rPr>
        <w:t>方式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w:t>
      </w:r>
      <w:r>
        <w:br/>
      </w:r>
      <w:r>
        <w:br/>
      </w:r>
      <w:r>
        <w:rPr>
          <w:rFonts w:ascii="SimSun" w:hAnsi="SimSun"/>
          <w:b w:val="false"/>
          <w:i w:val="false"/>
          <w:color w:val="000000"/>
          <w:sz w:val="21"/>
        </w:rPr>
        <w:t>方式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w:t>
      </w:r>
      <w:r>
        <w:br/>
      </w:r>
      <w:r>
        <w:br/>
      </w:r>
      <w:r>
        <w:rPr>
          <w:rFonts w:ascii="SimSun" w:hAnsi="SimSun"/>
          <w:b w:val="false"/>
          <w:i w:val="false"/>
          <w:color w:val="000000"/>
          <w:sz w:val="21"/>
        </w:rPr>
        <w:t>本科毕业时，学生如作为“队长/项目负责人”身份完成上述竞赛参赛要求，则可选择将参与竞赛所撰写研究论文或比赛报告作为本科毕业论文送审，学院出台相应配套政策，进行审核与学分认定。若结项报告、研究论文为团队成果，学生在申请认定其为本科毕业论文时，应取得指导老师以及课题团队成员书面一致同意，且每份报告或论文只适用一次本科毕业论文答辩申请。学生如作为“项目团队成员排位前两名（除负责人外）”时，则须独立撰写一篇毕业论文送审。</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（59学分,本科要求59学分）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（31学分,本科要求31学分）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近现代国际关系</w:t>
            </w:r>
            <w:r>
              <w:br/>
            </w:r>
            <w:r>
              <w:br/>
            </w:r>
            <w:r>
              <w:rPr>
                <w:rFonts w:ascii="SimSun" w:hAnsi="SimSun"/>
                <w:b w:val="false"/>
                <w:i w:val="false"/>
                <w:color w:val="000000"/>
                <w:sz w:val="21"/>
              </w:rPr>
              <w:t>Modern and Contemporary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近现代中国对外关系</w:t>
            </w:r>
            <w:r>
              <w:br/>
            </w:r>
            <w:r>
              <w:br/>
            </w:r>
            <w:r>
              <w:rPr>
                <w:rFonts w:ascii="SimSun" w:hAnsi="SimSun"/>
                <w:b w:val="false"/>
                <w:i w:val="false"/>
                <w:color w:val="000000"/>
                <w:sz w:val="21"/>
              </w:rPr>
              <w:t>Foreign Relations of China: 1840-1949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国际组织概论</w:t>
            </w:r>
            <w:r>
              <w:br/>
            </w:r>
            <w:r>
              <w:br/>
            </w:r>
            <w:r>
              <w:rPr>
                <w:rFonts w:ascii="SimSun" w:hAnsi="SimSun"/>
                <w:b w:val="false"/>
                <w:i w:val="false"/>
                <w:color w:val="000000"/>
                <w:sz w:val="21"/>
              </w:rPr>
              <w:t>International organization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包括本硕实务实践衔接课程包、硕士实务实践高阶课程模块，按路径要求修读课程。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I.本硕实务实践衔接课程包（25学分）。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区域国别学</w:t>
            </w:r>
            <w:r>
              <w:br/>
            </w:r>
            <w:r>
              <w:br/>
            </w:r>
            <w:r>
              <w:rPr>
                <w:rFonts w:ascii="SimSun" w:hAnsi="SimSun"/>
                <w:b w:val="false"/>
                <w:i w:val="false"/>
                <w:color w:val="000000"/>
                <w:sz w:val="21"/>
              </w:rPr>
              <w:t>Area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国家安全学</w:t>
            </w:r>
            <w:r>
              <w:br/>
            </w:r>
            <w:r>
              <w:br/>
            </w:r>
            <w:r>
              <w:rPr>
                <w:rFonts w:ascii="SimSun" w:hAnsi="SimSun"/>
                <w:b w:val="false"/>
                <w:i w:val="false"/>
                <w:color w:val="000000"/>
                <w:sz w:val="21"/>
              </w:rPr>
              <w:t>National Security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习近平外交思想概论</w:t>
            </w:r>
            <w:r>
              <w:br/>
            </w:r>
            <w:r>
              <w:br/>
            </w:r>
            <w:r>
              <w:rPr>
                <w:rFonts w:ascii="SimSun" w:hAnsi="SimSun"/>
                <w:b w:val="false"/>
                <w:i w:val="false"/>
                <w:color w:val="000000"/>
                <w:sz w:val="21"/>
              </w:rPr>
              <w:t>Introduction to Xi Jinping Thought on Diplomacy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外交实务</w:t>
            </w:r>
            <w:r>
              <w:br/>
            </w:r>
            <w:r>
              <w:br/>
            </w:r>
            <w:r>
              <w:rPr>
                <w:rFonts w:ascii="SimSun" w:hAnsi="SimSun"/>
                <w:b w:val="false"/>
                <w:i w:val="false"/>
                <w:color w:val="000000"/>
                <w:sz w:val="21"/>
              </w:rPr>
              <w:t>Foreign Affairs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涉外法治与国际关系</w:t>
            </w:r>
            <w:r>
              <w:br/>
            </w:r>
            <w:r>
              <w:br/>
            </w:r>
            <w:r>
              <w:rPr>
                <w:rFonts w:ascii="SimSun" w:hAnsi="SimSun"/>
                <w:b w:val="false"/>
                <w:i w:val="false"/>
                <w:color w:val="000000"/>
                <w:sz w:val="21"/>
              </w:rPr>
              <w:t>Foreign-related Rule of Law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国际战略</w:t>
            </w:r>
            <w:r>
              <w:br/>
            </w:r>
            <w:r>
              <w:br/>
            </w:r>
            <w:r>
              <w:rPr>
                <w:rFonts w:ascii="SimSun" w:hAnsi="SimSun"/>
                <w:b w:val="false"/>
                <w:i w:val="false"/>
                <w:color w:val="000000"/>
                <w:sz w:val="21"/>
              </w:rPr>
              <w:t>International Strategy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人工智能时代的国际关系</w:t>
            </w:r>
            <w:r>
              <w:br/>
            </w:r>
            <w:r>
              <w:br/>
            </w:r>
            <w:r>
              <w:rPr>
                <w:rFonts w:ascii="SimSun" w:hAnsi="SimSun"/>
                <w:b w:val="false"/>
                <w:i w:val="false"/>
                <w:color w:val="000000"/>
                <w:sz w:val="21"/>
              </w:rPr>
              <w:t>International Relations in the Age of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俄罗斯政治与对外关系</w:t>
            </w:r>
            <w:r>
              <w:br/>
            </w:r>
            <w:r>
              <w:br/>
            </w:r>
            <w:r>
              <w:rPr>
                <w:rFonts w:ascii="SimSun" w:hAnsi="SimSun"/>
                <w:b w:val="false"/>
                <w:i w:val="false"/>
                <w:color w:val="000000"/>
                <w:sz w:val="21"/>
              </w:rPr>
              <w:t>Russian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东南亚政治与对外关系</w:t>
            </w:r>
            <w:r>
              <w:br/>
            </w:r>
            <w:r>
              <w:br/>
            </w:r>
            <w:r>
              <w:rPr>
                <w:rFonts w:ascii="SimSun" w:hAnsi="SimSun"/>
                <w:b w:val="false"/>
                <w:i w:val="false"/>
                <w:color w:val="000000"/>
                <w:sz w:val="21"/>
              </w:rPr>
              <w:t>Southeast Asian Politics and External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中东政治与对外关系</w:t>
            </w:r>
            <w:r>
              <w:br/>
            </w:r>
            <w:r>
              <w:br/>
            </w:r>
            <w:r>
              <w:rPr>
                <w:rFonts w:ascii="SimSun" w:hAnsi="SimSun"/>
                <w:b w:val="false"/>
                <w:i w:val="false"/>
                <w:color w:val="000000"/>
                <w:sz w:val="21"/>
              </w:rPr>
              <w:t>Middle Eastern Politics and Diplomacy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地中海政治与对外关系</w:t>
            </w:r>
            <w:r>
              <w:br/>
            </w:r>
            <w:r>
              <w:br/>
            </w:r>
            <w:r>
              <w:rPr>
                <w:rFonts w:ascii="SimSun" w:hAnsi="SimSun"/>
                <w:b w:val="false"/>
                <w:i w:val="false"/>
                <w:color w:val="000000"/>
                <w:sz w:val="21"/>
              </w:rPr>
              <w:t>Mediterranean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非洲政治与对外关系</w:t>
            </w:r>
            <w:r>
              <w:br/>
            </w:r>
            <w:r>
              <w:br/>
            </w:r>
            <w:r>
              <w:rPr>
                <w:rFonts w:ascii="SimSun" w:hAnsi="SimSun"/>
                <w:b w:val="false"/>
                <w:i w:val="false"/>
                <w:color w:val="000000"/>
                <w:sz w:val="21"/>
              </w:rPr>
              <w:t>The Politics and External Relations in Africa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国际谈判</w:t>
            </w:r>
            <w:r>
              <w:br/>
            </w:r>
            <w:r>
              <w:br/>
            </w:r>
            <w:r>
              <w:rPr>
                <w:rFonts w:ascii="SimSun" w:hAnsi="SimSun"/>
                <w:b w:val="false"/>
                <w:i w:val="false"/>
                <w:color w:val="000000"/>
                <w:sz w:val="21"/>
              </w:rPr>
              <w:t>International Negotiation</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II.硕士实务实践高阶课程模块（10学分）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中国外交理论与实践</w:t>
            </w:r>
            <w:r>
              <w:br/>
            </w:r>
            <w:r>
              <w:br/>
            </w:r>
            <w:r>
              <w:rPr>
                <w:rFonts w:ascii="SimSun" w:hAnsi="SimSun"/>
                <w:b w:val="false"/>
                <w:i w:val="false"/>
                <w:color w:val="000000"/>
                <w:sz w:val="21"/>
              </w:rPr>
              <w:t>China’s Diplomacy: Theory and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MIA60006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比较外交政策</w:t>
            </w:r>
            <w:r>
              <w:br/>
            </w:r>
            <w:r>
              <w:br/>
            </w:r>
            <w:r>
              <w:rPr>
                <w:rFonts w:ascii="SimSun" w:hAnsi="SimSun"/>
                <w:b w:val="false"/>
                <w:i w:val="false"/>
                <w:color w:val="000000"/>
                <w:sz w:val="21"/>
              </w:rPr>
              <w:t>Comparative Foreign Policy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全球治理前沿专题</w:t>
            </w:r>
            <w:r>
              <w:br/>
            </w:r>
            <w:r>
              <w:br/>
            </w:r>
            <w:r>
              <w:rPr>
                <w:rFonts w:ascii="SimSun" w:hAnsi="SimSun"/>
                <w:b w:val="false"/>
                <w:i w:val="false"/>
                <w:color w:val="000000"/>
                <w:sz w:val="21"/>
              </w:rPr>
              <w:t>Advanced Studies on Global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国际组织专题研究</w:t>
            </w:r>
            <w:r>
              <w:br/>
            </w:r>
            <w:r>
              <w:br/>
            </w:r>
            <w:r>
              <w:rPr>
                <w:rFonts w:ascii="SimSun" w:hAnsi="SimSun"/>
                <w:b w:val="false"/>
                <w:i w:val="false"/>
                <w:color w:val="000000"/>
                <w:sz w:val="21"/>
              </w:rPr>
              <w:t>Advanced Studies on International organization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国际发展专题研究</w:t>
            </w:r>
            <w:r>
              <w:br/>
            </w:r>
            <w:r>
              <w:br/>
            </w:r>
            <w:r>
              <w:rPr>
                <w:rFonts w:ascii="SimSun" w:hAnsi="SimSun"/>
                <w:b w:val="false"/>
                <w:i w:val="false"/>
                <w:color w:val="000000"/>
                <w:sz w:val="21"/>
              </w:rPr>
              <w:t>Advanced Studies on International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国际安全专题研究</w:t>
            </w:r>
            <w:r>
              <w:br/>
            </w:r>
            <w:r>
              <w:br/>
            </w:r>
            <w:r>
              <w:rPr>
                <w:rFonts w:ascii="SimSun" w:hAnsi="SimSun"/>
                <w:b w:val="false"/>
                <w:i w:val="false"/>
                <w:color w:val="000000"/>
                <w:sz w:val="21"/>
              </w:rPr>
              <w:t>Advanced Studies on International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国际制度专题研究</w:t>
            </w:r>
            <w:r>
              <w:br/>
            </w:r>
            <w:r>
              <w:br/>
            </w:r>
            <w:r>
              <w:rPr>
                <w:rFonts w:ascii="SimSun" w:hAnsi="SimSun"/>
                <w:b w:val="false"/>
                <w:i w:val="false"/>
                <w:color w:val="000000"/>
                <w:sz w:val="21"/>
              </w:rPr>
              <w:t>International Institutions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国际法专题研究</w:t>
            </w:r>
            <w:r>
              <w:br/>
            </w:r>
            <w:r>
              <w:br/>
            </w:r>
            <w:r>
              <w:rPr>
                <w:rFonts w:ascii="SimSun" w:hAnsi="SimSun"/>
                <w:b w:val="false"/>
                <w:i w:val="false"/>
                <w:color w:val="000000"/>
                <w:sz w:val="21"/>
              </w:rPr>
              <w:t>Advanced Studies on International Law</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国际秩序专题研究</w:t>
            </w:r>
            <w:r>
              <w:br/>
            </w:r>
            <w:r>
              <w:br/>
            </w:r>
            <w:r>
              <w:rPr>
                <w:rFonts w:ascii="SimSun" w:hAnsi="SimSun"/>
                <w:b w:val="false"/>
                <w:i w:val="false"/>
                <w:color w:val="000000"/>
                <w:sz w:val="21"/>
              </w:rPr>
              <w:t>Advanced Studies on International Order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网络空间治理专题研究</w:t>
            </w:r>
            <w:r>
              <w:br/>
            </w:r>
            <w:r>
              <w:br/>
            </w:r>
            <w:r>
              <w:rPr>
                <w:rFonts w:ascii="SimSun" w:hAnsi="SimSun"/>
                <w:b w:val="false"/>
                <w:i w:val="false"/>
                <w:color w:val="000000"/>
                <w:sz w:val="21"/>
              </w:rPr>
              <w:t>Advanced Studies on Cyberspace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美国专题研究</w:t>
            </w:r>
            <w:r>
              <w:br/>
            </w:r>
            <w:r>
              <w:br/>
            </w:r>
            <w:r>
              <w:rPr>
                <w:rFonts w:ascii="SimSun" w:hAnsi="SimSun"/>
                <w:b w:val="false"/>
                <w:i w:val="false"/>
                <w:color w:val="000000"/>
                <w:sz w:val="21"/>
              </w:rPr>
              <w:t>Advanced Studies on America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欧洲专题研究</w:t>
            </w:r>
            <w:r>
              <w:br/>
            </w:r>
            <w:r>
              <w:br/>
            </w:r>
            <w:r>
              <w:rPr>
                <w:rFonts w:ascii="SimSun" w:hAnsi="SimSun"/>
                <w:b w:val="false"/>
                <w:i w:val="false"/>
                <w:color w:val="000000"/>
                <w:sz w:val="21"/>
              </w:rPr>
              <w:t>Advanced Studies on European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全球南方专题研究</w:t>
            </w:r>
            <w:r>
              <w:br/>
            </w:r>
            <w:r>
              <w:br/>
            </w:r>
            <w:r>
              <w:rPr>
                <w:rFonts w:ascii="SimSun" w:hAnsi="SimSun"/>
                <w:b w:val="false"/>
                <w:i w:val="false"/>
                <w:color w:val="000000"/>
                <w:sz w:val="21"/>
              </w:rPr>
              <w:t>Advanced Studies on the Global South Issues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全周期的科研训练体系，在1、2年级设立前沿导论课和无学分讨论班，引导学生早进课题组，培育兴趣。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其他本科生学术研究计划</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实务实践训练方式之一和实务实践训练方式之二必修2选1
实务实践训练方式之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修读认定以项目立项证明材料为准，项目能否设置负责人外成员参照学校政策安排。
实务实践训练方式之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
本科毕业论文，可用复芏计划成果为论文主要内容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本硕双导师制实务实践训练体系-硕士研究生阶段要求
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参照学校要求，硕士生在校期间至少听取5次学术报告，并在院系或校级甚至全国性的学术研讨会、学术沙龙或其他公开学术讨论场合作2次学术报告。并作好记录和小结，送交指导老师考核和评分。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参照学校要求，硕士生在校期间应参加两个星期以上的教学实践或者公共管理实践。并作好记录和小结，送交指导老师考核和评分。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在第8学期完成，详见国务学院论文开题实施细则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