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2025市场营销-工商管理学本博融通培养方案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市场营销学系成立于1999年，其前身可追溯至20世纪80年代恢复的市场营销教学与研究。作为国内首批对标国际商学院模式设立的市场营销专业，该系致力于培养兼具全球视野与中国市场实践能力的复合型人才。本专业以“宽口径、厚基础、重能力、求创新”为原则，培养掌握管理学、经济学与市场营销理论，具备市场调研、营销策划、数字营销等实践能力的专业人才。根据2024年专业排名，复旦大学市场营销专业稳居全国前三，毕业生就业竞争力连续多年位列国内高校前列。</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以数字时代全球市场前沿需求为导向，致力于培养德智体美劳全面发展、兼具学术创新力与商业实践力的战略性营销研究人才。学生需系统掌握消费者行为理论、品牌价值管理及智能营销决策体系，深入融合大数据因果推断与生成式AI技术工具，能够面向新消费趋势构建用户精准洞察模型并设计可持续市场增长策略。</w:t>
      </w:r>
      <w:r>
        <w:br/>
      </w:r>
      <w:r>
        <w:br/>
      </w:r>
      <w:r>
        <w:rPr>
          <w:rFonts w:ascii="SimSun" w:hAnsi="SimSun"/>
          <w:b w:val="false"/>
          <w:i w:val="false"/>
          <w:color w:val="000000"/>
          <w:sz w:val="21"/>
        </w:rPr>
        <w:t xml:space="preserve">    培养过程强调科研与实践的双轨驱动：要求学生掌握管理学、经济学的基本理论，熟悉现代市场营销的理论，掌握市场营销的定性、定量分析方法；具有较强的语言与文字表达、人际沟通以及分析和解决营销实际问题的能力；熟练掌握一门外语；掌握文献检索、资料查询的基本方法，深入理解全球化消费文化差异与本土市场特性，聚焦社交电商智能推荐及隐私计算驱动的用户价值挖掘等前沿领域；通过行为经济学实验及多模态数据分析方法等，开展消费者决策机制与营销伦理的跨学科研究；依托产学研协同平台，强化数据驱动型品牌战略规划能力与全渠道营销场景落地执行。毕业生将成为推动企业数字化转型与营销理论范式革新的领军力量。</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656667" cy="1422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656667" cy="1422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3年级第2学期 2. 卓博项目/硕博项目夏令营</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面试内容：荣誉课程学习情况、综合评价（竞赛、比赛、科研实践情况及专业科研志趣等内容）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笔试科目：英语、专业课一、专业课二</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相对应的本科培养方案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相对应的科硕培养方案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面试内容：荣誉课程学习情况、综合评价（竞赛、比赛、科研实践情况及本专业科研志趣等内容）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市场营销</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129</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56</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市场营销</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市场营销</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4030133" cy="1151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030133" cy="1151467"/>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 xml:space="preserve">1、  本研融通专业进阶路径：159学分                                                                   </w:t>
      </w:r>
    </w:p>
    <w:p>
      <w:pPr>
        <w:spacing w:after="0"/>
        <w:ind w:left="0"/>
        <w:jc w:val="left"/>
      </w:pPr>
      <w:r>
        <w:rPr>
          <w:rFonts w:ascii="SimSun" w:hAnsi="SimSun"/>
          <w:b w:val="false"/>
          <w:i w:val="false"/>
          <w:color w:val="000000"/>
          <w:sz w:val="21"/>
        </w:rPr>
        <w:t xml:space="preserve">    本路径学生本博期间必须修满教学计划规定的159学分，包括通识教育课程44学分、专业培养课程56学分、专业进阶模46学分、融合创新能力模块13学分的修读。</w:t>
      </w:r>
    </w:p>
    <w:p>
      <w:pPr>
        <w:spacing w:after="0"/>
        <w:ind w:left="0"/>
        <w:jc w:val="left"/>
      </w:pPr>
      <w:r>
        <w:rPr>
          <w:rFonts w:ascii="SimSun" w:hAnsi="SimSun"/>
          <w:b w:val="false"/>
          <w:i w:val="false"/>
          <w:color w:val="000000"/>
          <w:sz w:val="21"/>
        </w:rPr>
        <w:t xml:space="preserve">    其中，本科学段需要完成129学分（含实践学分不低于24学分；含美育学分不少于2学分，其中至少在“美学和艺术史论类”或“艺术鉴赏和评论类”课程中修读1学分，并至少参与一项艺术实践活动；劳动教育不少于32学时，并满足劳动周教育要求），包括通识教育课程44学分、专业培养课程56学分、专业进阶模块修读24学分、融合创新能力模块5学分。                                                                     </w:t>
      </w:r>
    </w:p>
    <w:p>
      <w:pPr>
        <w:spacing w:after="0"/>
        <w:ind w:left="0"/>
        <w:jc w:val="left"/>
      </w:pPr>
      <w:r>
        <w:rPr>
          <w:rFonts w:ascii="SimSun" w:hAnsi="SimSun"/>
          <w:b w:val="false"/>
          <w:i w:val="false"/>
          <w:color w:val="000000"/>
          <w:sz w:val="21"/>
        </w:rPr>
        <w:t xml:space="preserve">2、  本科荣誉项目：160学分                                                                   </w:t>
      </w:r>
    </w:p>
    <w:p>
      <w:pPr>
        <w:spacing w:after="0"/>
        <w:ind w:left="0"/>
        <w:jc w:val="left"/>
      </w:pPr>
      <w:r>
        <w:rPr>
          <w:rFonts w:ascii="SimSun" w:hAnsi="SimSun"/>
          <w:b w:val="false"/>
          <w:i w:val="false"/>
          <w:color w:val="000000"/>
          <w:sz w:val="21"/>
        </w:rPr>
        <w:t xml:space="preserve">   在专业进阶路径基础上，修读荣誉课程不少于8门课。荣誉项目课程设置和修读要求请见管理学院“本科荣誉项目”实施方案。下载地址：https://jwc.fudan.edu.cn/（复旦大学教务处）专业培养-常用文档。                                                                  </w:t>
      </w:r>
    </w:p>
    <w:p>
      <w:pPr>
        <w:spacing w:after="0"/>
        <w:ind w:left="0"/>
        <w:jc w:val="left"/>
      </w:pPr>
      <w:r>
        <w:rPr>
          <w:rFonts w:ascii="SimSun" w:hAnsi="SimSun"/>
          <w:b w:val="false"/>
          <w:i w:val="false"/>
          <w:color w:val="000000"/>
          <w:sz w:val="21"/>
        </w:rPr>
        <w:t xml:space="preserve">3、 跨学科发展路径：174学分                                                               </w:t>
      </w:r>
    </w:p>
    <w:p>
      <w:pPr>
        <w:spacing w:after="0"/>
        <w:ind w:left="0"/>
        <w:jc w:val="left"/>
      </w:pPr>
      <w:r>
        <w:rPr>
          <w:rFonts w:ascii="SimSun" w:hAnsi="SimSun"/>
          <w:b w:val="false"/>
          <w:i w:val="false"/>
          <w:color w:val="000000"/>
          <w:sz w:val="21"/>
        </w:rPr>
        <w:t xml:space="preserve">    在专业进阶路径或荣誉项目基础上，修读1个跨学科学程（微专业）15学分（可在研究生学段修读），具体要求见教务处网站学程实施方案。   </w:t>
      </w:r>
    </w:p>
    <w:p>
      <w:pPr>
        <w:spacing w:after="0"/>
        <w:ind w:left="0"/>
        <w:jc w:val="left"/>
      </w:pPr>
      <w:r>
        <w:rPr>
          <w:rFonts w:ascii="SimSun" w:hAnsi="SimSun"/>
          <w:b w:val="false"/>
          <w:i w:val="false"/>
          <w:color w:val="000000"/>
          <w:sz w:val="21"/>
        </w:rPr>
        <w:t>4、博士/财务管理+AI双学士学位项目：194学分</w:t>
      </w:r>
    </w:p>
    <w:p>
      <w:pPr>
        <w:spacing w:after="0"/>
        <w:ind w:left="0"/>
        <w:jc w:val="left"/>
      </w:pPr>
      <w:r>
        <w:rPr>
          <w:rFonts w:ascii="SimSun" w:hAnsi="SimSun"/>
          <w:b w:val="false"/>
          <w:i w:val="false"/>
          <w:color w:val="000000"/>
          <w:sz w:val="21"/>
        </w:rPr>
        <w:t xml:space="preserve">  本路径学生本博期间必须修满教学计划规定的194学分，无需修读进阶II（9学分），增加修读CS10004 程序设计（4学分）、 BA30022 服务营销（2学分）、AIT310026人工智能（AI)营销（3学分）、 市场营销-人工智能双学位中人工智能专业核心教育课程C组35学分。</w:t>
      </w:r>
      <w:r>
        <w:br/>
      </w:r>
      <w:r>
        <w:br/>
      </w:r>
      <w:r>
        <w:rPr>
          <w:rFonts w:ascii="SimSun" w:hAnsi="SimSun"/>
          <w:b w:val="false"/>
          <w:i w:val="false"/>
          <w:color w:val="000000"/>
          <w:sz w:val="21"/>
        </w:rPr>
        <w:t xml:space="preserve">                                                                  </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4年级结束时，如达到学士学位要求者授予管理学学士学位。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numPr>
          <w:ilvl w:val="0"/>
          <w:numId w:val="2"/>
        </w:numPr>
        <w:spacing w:after="0"/>
        <w:jc w:val="left"/>
      </w:pPr>
      <w:r>
        <w:rPr>
          <w:rFonts w:ascii="SimSun" w:hAnsi="SimSun"/>
          <w:b w:val="false"/>
          <w:i w:val="false"/>
          <w:color w:val="000000"/>
          <w:sz w:val="21"/>
        </w:rPr>
        <w:t>本科阶段退出本博融通计划的学生，需按照对应的本科培养方案修读课程，或在此卓研精英班培养方案基础上补充6学分（课程范围为在对应的普通专业培养方案中所存在的不同的大类基础课、学院平台课、该专业必修课），如达到学士学位要求者授予管理学学士学位。</w:t>
      </w:r>
    </w:p>
    <w:p>
      <w:pPr>
        <w:spacing w:after="0"/>
        <w:ind w:left="0"/>
        <w:jc w:val="left"/>
      </w:pPr>
      <w:r>
        <w:rPr>
          <w:rFonts w:ascii="SimSun" w:hAnsi="SimSun"/>
          <w:b w:val="false"/>
          <w:i w:val="false"/>
          <w:color w:val="000000"/>
          <w:sz w:val="21"/>
        </w:rPr>
        <w:t xml:space="preserve">（二）研究生学位                                                                     </w:t>
      </w:r>
    </w:p>
    <w:p>
      <w:pPr>
        <w:spacing w:after="0"/>
        <w:ind w:left="0"/>
        <w:jc w:val="left"/>
      </w:pPr>
      <w:r>
        <w:rPr>
          <w:rFonts w:ascii="SimSun" w:hAnsi="SimSun"/>
          <w:b w:val="false"/>
          <w:i w:val="false"/>
          <w:color w:val="000000"/>
          <w:sz w:val="21"/>
        </w:rPr>
        <w:t xml:space="preserve">1、 达到博士学位要求者授予管理学博士学位。                                                                  </w:t>
      </w:r>
    </w:p>
    <w:p>
      <w:pPr>
        <w:spacing w:after="0"/>
        <w:ind w:left="0"/>
        <w:jc w:val="left"/>
      </w:pPr>
      <w:r>
        <w:rPr>
          <w:rFonts w:ascii="SimSun" w:hAnsi="SimSun"/>
          <w:b w:val="false"/>
          <w:i w:val="false"/>
          <w:color w:val="000000"/>
          <w:sz w:val="21"/>
        </w:rPr>
        <w:t xml:space="preserve">（1）必须已修满培养方案规定的学分，所有修读课程成绩合格，其中研究生学位课程平均绩点不低于2.5。                                                                  </w:t>
      </w:r>
    </w:p>
    <w:p>
      <w:pPr>
        <w:spacing w:after="0"/>
        <w:ind w:left="0"/>
        <w:jc w:val="left"/>
      </w:pPr>
      <w:r>
        <w:rPr>
          <w:rFonts w:ascii="SimSun" w:hAnsi="SimSun"/>
          <w:b w:val="false"/>
          <w:i w:val="false"/>
          <w:color w:val="000000"/>
          <w:sz w:val="21"/>
        </w:rPr>
        <w:t>（2）文科专业学位需符合以下条件：</w:t>
      </w:r>
    </w:p>
    <w:p>
      <w:pPr>
        <w:spacing w:after="0"/>
        <w:ind w:left="0"/>
        <w:jc w:val="left"/>
      </w:pPr>
      <w:r>
        <w:rPr>
          <w:rFonts w:ascii="SimSun" w:hAnsi="SimSun"/>
          <w:b w:val="false"/>
          <w:i w:val="false"/>
          <w:color w:val="000000"/>
          <w:sz w:val="21"/>
        </w:rPr>
        <w:t xml:space="preserve"> 根据《复旦大学管理学院研究生发表学术论文相关规定》，博士研究生至少在《复旦大学管理学院学位与研究生教育期刊指导目录》发表(含录用)2篇B类或1篇A类，与学位论文内容相关的学术论文。此外，进入《复旦大学管理学院学位与研究生教育期刊指导目录》国际 A-及以上期刊、国内A+期刊第二轮审稿人盲审，学位申请人为第一作者或导师一作本人二作，署名为复旦大学，并经导师同意的学术论文，可以视为A类发文用以学位申请。</w:t>
      </w:r>
    </w:p>
    <w:p>
      <w:pPr>
        <w:spacing w:after="0"/>
        <w:ind w:left="0"/>
        <w:jc w:val="left"/>
      </w:pPr>
      <w:r>
        <w:rPr>
          <w:rFonts w:ascii="SimSun" w:hAnsi="SimSun"/>
          <w:b w:val="false"/>
          <w:i w:val="false"/>
          <w:color w:val="000000"/>
          <w:sz w:val="21"/>
        </w:rPr>
        <w:t xml:space="preserve">  (3）“卓博学员”在研究生学段的课程成绩、科研成果、学位论文等方面综合表现优秀的，经院系评估、推荐和学校审核，毕业时由学校授予“卓博学者”称号。</w:t>
      </w:r>
    </w:p>
    <w:p>
      <w:pPr>
        <w:spacing w:after="0"/>
        <w:ind w:left="0"/>
        <w:jc w:val="left"/>
      </w:pPr>
    </w:p>
    <w:p>
      <w:pPr>
        <w:spacing w:after="0"/>
        <w:ind w:left="0"/>
        <w:jc w:val="left"/>
      </w:pPr>
      <w:r>
        <w:rPr>
          <w:rFonts w:ascii="SimSun" w:hAnsi="SimSun"/>
          <w:b w:val="false"/>
          <w:i w:val="false"/>
          <w:color w:val="000000"/>
          <w:sz w:val="21"/>
        </w:rPr>
        <w:t>2、研究生学段主动退出和博士生资格考核不合格退出本博融通计划的学生，需按照本专业本硕融通培养方案修读课程，如达到硕士学位要求者授予管理学硕士学位。</w:t>
      </w:r>
    </w:p>
    <w:p>
      <w:pPr>
        <w:spacing w:after="0"/>
        <w:ind w:left="0"/>
        <w:jc w:val="left"/>
      </w:pPr>
      <w:r>
        <w:rPr>
          <w:rFonts w:ascii="SimSun" w:hAnsi="SimSun"/>
          <w:b w:val="false"/>
          <w:i w:val="false"/>
          <w:color w:val="000000"/>
          <w:sz w:val="21"/>
        </w:rPr>
        <w:t>（1）必须已修满培养方案规定的学分，所有修读课程成绩合格，其中研究生学位课程平均绩点不低于2.5。</w:t>
      </w:r>
    </w:p>
    <w:p>
      <w:pPr>
        <w:spacing w:after="0"/>
        <w:ind w:left="0"/>
        <w:jc w:val="left"/>
      </w:pPr>
      <w:r>
        <w:rPr>
          <w:rFonts w:ascii="SimSun" w:hAnsi="SimSun"/>
          <w:b w:val="false"/>
          <w:i w:val="false"/>
          <w:color w:val="000000"/>
          <w:sz w:val="21"/>
        </w:rPr>
        <w:t xml:space="preserve">（2）鼓励但不要求必须发表学术论文。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674533" cy="1947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74533" cy="1947333"/>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p>
    <w:p>
      <w:pPr>
        <w:spacing w:after="0"/>
        <w:ind w:left="0"/>
        <w:jc w:val="left"/>
      </w:pPr>
      <w:r>
        <w:rPr>
          <w:rFonts w:ascii="SimSun" w:hAnsi="SimSun"/>
          <w:b w:val="false"/>
          <w:i w:val="false"/>
          <w:color w:val="000000"/>
          <w:sz w:val="21"/>
        </w:rPr>
        <w:t xml:space="preserve">       1.课程体系                                                                   </w:t>
      </w:r>
    </w:p>
    <w:p>
      <w:pPr>
        <w:spacing w:after="0"/>
        <w:ind w:left="0"/>
        <w:jc w:val="left"/>
      </w:pPr>
      <w:r>
        <w:rPr>
          <w:rFonts w:ascii="SimSun" w:hAnsi="SimSun"/>
          <w:b w:val="false"/>
          <w:i w:val="false"/>
          <w:color w:val="000000"/>
          <w:sz w:val="21"/>
        </w:rPr>
        <w:t xml:space="preserve">    以10多门高难度课程为基础建立了本研融通的专业核心课程体系，以学科领域为横、课程内容梯度为纵建立了难度逐级提升的本研融通的专业进阶课程体系。鼓励学生修读荣誉课程。                                                                     </w:t>
      </w:r>
    </w:p>
    <w:p>
      <w:pPr>
        <w:spacing w:after="0"/>
        <w:ind w:left="0"/>
        <w:jc w:val="left"/>
      </w:pPr>
      <w:r>
        <w:rPr>
          <w:rFonts w:ascii="SimSun" w:hAnsi="SimSun"/>
          <w:b w:val="false"/>
          <w:i w:val="false"/>
          <w:color w:val="000000"/>
          <w:sz w:val="21"/>
        </w:rPr>
        <w:t xml:space="preserve">    2.科研训练体系                                                                   </w:t>
      </w:r>
    </w:p>
    <w:p>
      <w:pPr>
        <w:spacing w:after="0"/>
        <w:ind w:left="0"/>
        <w:jc w:val="left"/>
      </w:pPr>
      <w:r>
        <w:rPr>
          <w:rFonts w:ascii="SimSun" w:hAnsi="SimSun"/>
          <w:b w:val="false"/>
          <w:i w:val="false"/>
          <w:color w:val="000000"/>
          <w:sz w:val="21"/>
        </w:rPr>
        <w:t xml:space="preserve">    建立螺旋递进的全周期科研训练体系，配备全员导师，鼓励师生共创，通过复芏计划等项目引导学生在“做中学、学中悟、悟中创”。设立无学分讨论班，引导学生早进课题组轮转，培育兴趣。完成1项复芏计划（FDUROP）项目（䇹政、望道、登辉和曦源），激发创新志趣。     </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研究生政治课程2学分，七大模块6学分。七大模块6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学生应在大类基础课程中修满25学分，修满社会科学类课程（必修管理学院开设的“数学分析AI”、“数学分析AII”、“微观经济学*”、“宏观经济学*”、“会计学*”、“管理学理导论*”和“线性代数I”）。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要求在本专业进阶课程或荣誉课程中修读至少46学分（其中专业进阶I组修读至少15学分，专业进阶II组修读至少9学分,专业进阶III至少22学分）。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必修6学分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研究方法导论</w:t>
            </w:r>
            <w:r>
              <w:br/>
            </w:r>
            <w:r>
              <w:br/>
            </w:r>
            <w:r>
              <w:rPr>
                <w:rFonts w:ascii="SimSun" w:hAnsi="SimSun"/>
                <w:b w:val="false"/>
                <w:i w:val="false"/>
                <w:color w:val="000000"/>
                <w:sz w:val="21"/>
              </w:rPr>
              <w:t>Research Method</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BA50005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营销管理理论</w:t>
            </w:r>
            <w:r>
              <w:br/>
            </w:r>
            <w:r>
              <w:br/>
            </w:r>
            <w:r>
              <w:rPr>
                <w:rFonts w:ascii="SimSun" w:hAnsi="SimSun"/>
                <w:b w:val="false"/>
                <w:i w:val="false"/>
                <w:color w:val="000000"/>
                <w:sz w:val="21"/>
              </w:rPr>
              <w:t>Marketing Management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BA60004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行为研究方法</w:t>
            </w:r>
            <w:r>
              <w:br/>
            </w:r>
            <w:r>
              <w:br/>
            </w:r>
            <w:r>
              <w:rPr>
                <w:rFonts w:ascii="SimSun" w:hAnsi="SimSun"/>
                <w:b w:val="false"/>
                <w:i w:val="false"/>
                <w:color w:val="000000"/>
                <w:sz w:val="21"/>
              </w:rPr>
              <w:t>Behavioral Research Method</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BA50002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至少9学分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计量经济学I</w:t>
            </w:r>
            <w:r>
              <w:br/>
            </w:r>
            <w:r>
              <w:br/>
            </w:r>
            <w:r>
              <w:rPr>
                <w:rFonts w:ascii="SimSun" w:hAnsi="SimSun"/>
                <w:b w:val="false"/>
                <w:i w:val="false"/>
                <w:color w:val="000000"/>
                <w:sz w:val="21"/>
              </w:rPr>
              <w:t>Econometrics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The 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经济与管理中的定量方法</w:t>
            </w:r>
            <w:r>
              <w:br/>
            </w:r>
            <w:r>
              <w:br/>
            </w:r>
            <w:r>
              <w:rPr>
                <w:rFonts w:ascii="SimSun" w:hAnsi="SimSun"/>
                <w:b w:val="false"/>
                <w:i w:val="false"/>
                <w:color w:val="000000"/>
                <w:sz w:val="21"/>
              </w:rPr>
              <w:t>Quantitative Methods in Economy and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BA50004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 （跨学科融合课）</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进阶II必修9学分，其中A组至少修读6学分，B组和C组任选，修读0-3学分。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A组（4门选3门）</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4选3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4选3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4选3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4选3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Real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管理综合课程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专业进阶III   研究生阶段课程</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进阶III至少修读22学分，其中A组必修8学分，B组至少修读14学分。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必修8学分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管理学前沿讲座</w:t>
            </w:r>
            <w:r>
              <w:br/>
            </w:r>
            <w:r>
              <w:br/>
            </w:r>
            <w:r>
              <w:rPr>
                <w:rFonts w:ascii="SimSun" w:hAnsi="SimSun"/>
                <w:b w:val="false"/>
                <w:i w:val="false"/>
                <w:color w:val="000000"/>
                <w:sz w:val="21"/>
              </w:rPr>
              <w:t>Management Lectures on Frontier Discipline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BA50003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计量经济学II</w:t>
            </w:r>
            <w:r>
              <w:br/>
            </w:r>
            <w:r>
              <w:br/>
            </w:r>
            <w:r>
              <w:rPr>
                <w:rFonts w:ascii="SimSun" w:hAnsi="SimSun"/>
                <w:b w:val="false"/>
                <w:i w:val="false"/>
                <w:color w:val="000000"/>
                <w:sz w:val="21"/>
              </w:rPr>
              <w:t>Econometrics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企业理论</w:t>
            </w:r>
            <w:r>
              <w:br/>
            </w:r>
            <w:r>
              <w:br/>
            </w:r>
            <w:r>
              <w:rPr>
                <w:rFonts w:ascii="SimSun" w:hAnsi="SimSun"/>
                <w:b w:val="false"/>
                <w:i w:val="false"/>
                <w:color w:val="000000"/>
                <w:sz w:val="21"/>
              </w:rPr>
              <w:t>The Theory of the Firm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管理研究的哲学体系</w:t>
            </w:r>
            <w:r>
              <w:br/>
            </w:r>
            <w:r>
              <w:br/>
            </w:r>
            <w:r>
              <w:rPr>
                <w:rFonts w:ascii="SimSun" w:hAnsi="SimSun"/>
                <w:b w:val="false"/>
                <w:i w:val="false"/>
                <w:color w:val="000000"/>
                <w:sz w:val="21"/>
              </w:rPr>
              <w:t>Philosophy of Management Research</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BA70036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6选5，至少14学分。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消费者研究（1）</w:t>
            </w:r>
            <w:r>
              <w:br/>
            </w:r>
            <w:r>
              <w:br/>
            </w:r>
            <w:r>
              <w:rPr>
                <w:rFonts w:ascii="SimSun" w:hAnsi="SimSun"/>
                <w:b w:val="false"/>
                <w:i w:val="false"/>
                <w:color w:val="000000"/>
                <w:sz w:val="21"/>
              </w:rPr>
              <w:t>Consumer Research (1)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消费者研究（2）</w:t>
            </w:r>
            <w:r>
              <w:br/>
            </w:r>
            <w:r>
              <w:br/>
            </w:r>
            <w:r>
              <w:rPr>
                <w:rFonts w:ascii="SimSun" w:hAnsi="SimSun"/>
                <w:b w:val="false"/>
                <w:i w:val="false"/>
                <w:color w:val="000000"/>
                <w:sz w:val="21"/>
              </w:rPr>
              <w:t>Consumer Research (2)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营销模型（1）</w:t>
            </w:r>
            <w:r>
              <w:br/>
            </w:r>
            <w:r>
              <w:br/>
            </w:r>
            <w:r>
              <w:rPr>
                <w:rFonts w:ascii="SimSun" w:hAnsi="SimSun"/>
                <w:b w:val="false"/>
                <w:i w:val="false"/>
                <w:color w:val="000000"/>
                <w:sz w:val="21"/>
              </w:rPr>
              <w:t>Marketing Models (1)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营销模型（2）</w:t>
            </w:r>
            <w:r>
              <w:br/>
            </w:r>
            <w:r>
              <w:br/>
            </w:r>
            <w:r>
              <w:rPr>
                <w:rFonts w:ascii="SimSun" w:hAnsi="SimSun"/>
                <w:b w:val="false"/>
                <w:i w:val="false"/>
                <w:color w:val="000000"/>
                <w:sz w:val="21"/>
              </w:rPr>
              <w:t>Marketing Models (2)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营销研究前沿专题</w:t>
            </w:r>
            <w:r>
              <w:br/>
            </w:r>
            <w:r>
              <w:br/>
            </w:r>
            <w:r>
              <w:rPr>
                <w:rFonts w:ascii="SimSun" w:hAnsi="SimSun"/>
                <w:b w:val="false"/>
                <w:i w:val="false"/>
                <w:color w:val="000000"/>
                <w:sz w:val="21"/>
              </w:rPr>
              <w:t>Advanced Seminars on Frontiers in Marketing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高级量化营销与前沿方法</w:t>
            </w:r>
            <w:r>
              <w:br/>
            </w:r>
            <w:r>
              <w:br/>
            </w:r>
            <w:r>
              <w:rPr>
                <w:rFonts w:ascii="SimSun" w:hAnsi="SimSun"/>
                <w:b w:val="false"/>
                <w:i w:val="false"/>
                <w:color w:val="000000"/>
                <w:sz w:val="21"/>
              </w:rPr>
              <w:t>Advanced Quantitative Marketing and Research Method</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BA70022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修读荣誉课程不少于8门课。荣誉项目课程设置和修读要求请见管理学院“本科荣誉项目”实施方案。下载地址：https://jwc.fudan.edu.cn/（复旦大学教务处）专业培养-常用文档。研究生阶段须完成进阶III (22学分）。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在专业进阶路径I和II的基础上或荣誉项目基础上，修读1个跨学科学程（微专业）15学分（可在研究生学段修读），具体要求见教务处网站学程实施方案。研究生阶段须完成进阶III (22学分）。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在专业进阶路径I和II的基础上或荣誉项目基础上，修读1个创新创业15学分（可在研究生学段修读），具体要求见教务处网站学程实施方案。研究生阶段须完成进阶III (22学分）。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6.博士/市场营销+AI双学士学位项目（55学分）（本科阶段）
       </w:t>
      </w:r>
      <w:r>
        <w:br/>
      </w:r>
      <w:r>
        <w:rPr>
          <w:rFonts w:ascii="SimSun" w:hAnsi="SimSun"/>
          <w:b w:val="false"/>
          <w:i w:val="false"/>
          <w:color w:val="000000"/>
          <w:sz w:val="21"/>
        </w:rPr>
        <w:t xml:space="preserve">
       </w:t>
      </w:r>
      <w:r>
        <w:br/>
      </w:r>
      <w:r>
        <w:rPr>
          <w:rFonts w:ascii="SimSun" w:hAnsi="SimSun"/>
          <w:b w:val="false"/>
          <w:i w:val="false"/>
          <w:color w:val="000000"/>
          <w:sz w:val="21"/>
        </w:rPr>
        <w:t xml:space="preserve">无需修读进阶II（9学分），修读进阶I（15学分）、增加修读CS10004 程序设计（4学分）、 BA30022 服务营销（2学分）、AIT310026人工智能（AI)营销（3学分）、 市场营销-人工智能双学位中人工智能专业核心教育课程C组35学分。研究生阶段须完成进阶III（22学分）。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1.全周期的科研训练体系，循环渐进，在解决复杂问题的过程中，激发批判性思维和科研潜力。完成1项复芏计划（FDUROP）项目（䇹政、望道、登辉和曦源），激发创新志趣。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2.多渠道支持并资助学生参加国内国际高水平学术交流，原则上应到具有世界一流水平高校进行一年左右的学习、研究或联合培养。
       </w:t>
      </w:r>
      <w:r>
        <w:br/>
      </w:r>
      <w:r>
        <w:rPr>
          <w:rFonts w:ascii="SimSun" w:hAnsi="SimSun"/>
          <w:b w:val="false"/>
          <w:i w:val="false"/>
          <w:color w:val="000000"/>
          <w:sz w:val="21"/>
        </w:rPr>
        <w:t xml:space="preserve">
       </w:t>
      </w:r>
      <w:r>
        <w:br/>
      </w:r>
      <w:r>
        <w:rPr>
          <w:rFonts w:ascii="SimSun" w:hAnsi="SimSun"/>
          <w:b w:val="false"/>
          <w:i w:val="false"/>
          <w:color w:val="000000"/>
          <w:sz w:val="21"/>
        </w:rPr>
        <w:t xml:space="preserve">3.全员参加“朝阳行动”，教授带队，学以致用，培养高度的社会责任感。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本科“朝阳行动”支教活动，暑假为期一周。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硕博合上（即英文学术论文写作）</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本科毕业论文</w:t>
            </w:r>
            <w:r>
              <w:br/>
            </w:r>
            <w:r>
              <w:br/>
            </w:r>
            <w:r>
              <w:rPr>
                <w:rFonts w:ascii="SimSun" w:hAnsi="SimSun"/>
                <w:b w:val="false"/>
                <w:i w:val="false"/>
                <w:color w:val="000000"/>
                <w:sz w:val="21"/>
              </w:rPr>
              <w:t>Undergraduate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第3、4学期，需在各研究方向的无学分讨论班轮转，每次讨论班结束后需一周内提交科研感想报告，并获得相应方向讨论班老师签字确认。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至少修读1门全英语的研究生课程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原则上应到具有世界一流水平的国外高校进行一年的学习、研究或联合培养。需具有参加高水平国际学术会议并作报告的经历。</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要求在转博前承担1次本科课程的助教工作； 要求在转博前完成1次学院规定的扶贫支教工作； 要求在转博后承担1次MBA/专业硕士/硕博课程的助教工作；要求在博士期间进行海外交流、联合培养</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论文预审相关要求见学位论文预审模块</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num w:numId="1">
    <w:abstractNumId w:val="1"/>
  </w:num>
  <w:num w:numId="2">
    <w:abstractNumId w:val="2"/>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