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哲学学院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2025哲学(艺术哲学方向)专业本科培养方案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哲学学院为国家文科人才培养与科学研究基地，哲学学科为国家重点一级学科，马克思主义哲学、西方哲学和中国哲学为国家重点二级学科。在全国第四轮学科评估中与北京大学并列哲学类“A+学科”，2017年被教育部评为“一流学科”，2018年入选上海市I类高峰学科。在2021年QS世界大学学科排名中，复旦哲学学科位列全球第31位，宗教学专业位列全球第41位。此外，学院有1个教育部人文社会科学重点研究基地。哲学学院具有哲学一级学科下属的全部二级学科，近年来成立了国内首个科学哲学与逻辑学系、国内首个艺术哲学系，形成了哲学、宗教学、中国古典思想与文化、科学哲学与逻辑学、艺术哲学五大学科群集群发展态势。</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哲学类专业以马克思主义理论与方法为指导，培养德、智、体、美、劳全面发展，有一定哲学理论素养和专业基础知识，有进一步培养潜质的哲学专门人才，以及能在国家机关、 文教事业、 新闻出版、企业等部门从事实际工作的应用型、复合型人才。哲学类专业包括哲学专业、哲学（国学方向）专业、哲学（科学哲学与逻辑学方向）专业、哲学（艺术哲学方向）专业和宗教学专业。哲学类专业侧重培养学生综合掌握和运用哲学各个二级学科理论知识的能力，要求学生能够准确理解马克思主义哲学、中国哲学和西方哲学的理论和历史；具备人文科学、社会科学、自然科学的相关基础知识；掌握哲学的基本研究方法和相应的社会调查能力；熟练地掌握一门外语；具有较强的思维能力、表达能力、社会活动能力和初步的科学研究能力，以及一定的管理能力。艺术哲学系科依托完整的哲学一级学科优势，主要从哲学角度推进对于艺术本身的真切反思、建设性批评、理论建构和策略性推广，促进美学学科下沉，培养相关艺术理论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572933" cy="1405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572933" cy="14054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60"/>
        <w:gridCol w:w="840"/>
        <w:gridCol w:w="2051"/>
        <w:gridCol w:w="2051"/>
        <w:gridCol w:w="1680"/>
        <w:gridCol w:w="1060"/>
        <w:gridCol w:w="980"/>
        <w:gridCol w:w="2"/>
        <w:gridCol w:w="5"/>
        <w:gridCol w:w="1062"/>
        <w:gridCol w:w="1243"/>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1.修业年限：4年（类型：R本科、□本硕、□本博）</w:t>
            </w:r>
          </w:p>
        </w:tc>
        <w:tc>
          <w:tcPr>
            <w:tcW w:w="1062" w:type="dxa"/>
            <w:tcBorders>
              <w:bottom w:val="single" w:color="000000" w:sz="8"/>
              <w:right w:val="single" w:color="000000" w:sz="8"/>
            </w:tcBorders>
            <w:tcMar>
              <w:top w:w="15" w:type="dxa"/>
              <w:left w:w="15" w:type="dxa"/>
              <w:bottom w:w="15" w:type="dxa"/>
              <w:right w:w="15" w:type="dxa"/>
            </w:tcMar>
            <w:vAlign w:val="center"/>
          </w:tcPr>
          <w:p/>
        </w:tc>
        <w:tc>
          <w:tcPr>
            <w:tcW w:w="1243"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0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哲学学士</w:t>
            </w:r>
          </w:p>
        </w:tc>
        <w:tc>
          <w:tcPr>
            <w:tcW w:w="1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0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哲学（艺术哲学方向）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R按照不少于学分数139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融合创新能力模块7学分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68133" cy="14224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68133" cy="14224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1、专业进阶路径：139学分</w:t>
      </w:r>
      <w:r>
        <w:br/>
      </w:r>
      <w:r>
        <w:br/>
      </w:r>
      <w:r>
        <w:rPr>
          <w:rFonts w:ascii="SimSun" w:hAnsi="SimSun"/>
          <w:b w:val="false"/>
          <w:i w:val="false"/>
          <w:color w:val="000000"/>
          <w:sz w:val="21"/>
        </w:rPr>
        <w:t xml:space="preserve">  本路径学生需要完成139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45学分，专业培养课程55学分，融合创新能力培养7学分，专业进阶模块I 18学分，专业进阶模块II 14学分。</w:t>
      </w:r>
      <w:r>
        <w:br/>
      </w:r>
      <w:r>
        <w:br/>
      </w:r>
      <w:r>
        <w:rPr>
          <w:rFonts w:ascii="SimSun" w:hAnsi="SimSun"/>
          <w:b w:val="false"/>
          <w:i w:val="false"/>
          <w:color w:val="000000"/>
          <w:sz w:val="21"/>
        </w:rPr>
        <w:t>2、本科荣誉项目：139学分</w:t>
      </w:r>
      <w:r>
        <w:br/>
      </w:r>
      <w:r>
        <w:br/>
      </w:r>
      <w:r>
        <w:rPr>
          <w:rFonts w:ascii="SimSun" w:hAnsi="SimSun"/>
          <w:b w:val="false"/>
          <w:i w:val="false"/>
          <w:color w:val="000000"/>
          <w:sz w:val="21"/>
        </w:rPr>
        <w:t xml:space="preserve">  在专业进阶路径基础上，修读荣誉课程不少于6门课。荣誉项目课程设置和修读要求请见哲学学院“本科荣誉项目”实施方案。下载地址：https://jwc.fudan.edu.cn/（复旦大学教务处）专业培养-常用文档。鼓励学生选择荣誉项目。 </w:t>
      </w:r>
      <w:r>
        <w:br/>
      </w:r>
      <w:r>
        <w:br/>
      </w:r>
      <w:r>
        <w:rPr>
          <w:rFonts w:ascii="SimSun" w:hAnsi="SimSun"/>
          <w:b w:val="false"/>
          <w:i w:val="false"/>
          <w:color w:val="000000"/>
          <w:sz w:val="21"/>
        </w:rPr>
        <w:t>3、跨学科学发展路径：139学分</w:t>
      </w:r>
      <w:r>
        <w:br/>
      </w:r>
      <w:r>
        <w:br/>
      </w:r>
      <w:r>
        <w:rPr>
          <w:rFonts w:ascii="SimSun" w:hAnsi="SimSun"/>
          <w:b w:val="false"/>
          <w:i w:val="false"/>
          <w:color w:val="000000"/>
          <w:sz w:val="21"/>
        </w:rPr>
        <w:t xml:space="preserve">  本路径学生至少需要完成139学分，包括通识教育课程45学分，专业培养课程55学分，融合创新能力培养7学分，及修读2个非本专业独立开设的学程，可选择专业学程或跨学科学程。学分不足部分可在全校所有本科生课程中任意选修。</w:t>
      </w:r>
      <w:r>
        <w:br/>
      </w:r>
      <w:r>
        <w:br/>
      </w:r>
      <w:r>
        <w:rPr>
          <w:rFonts w:ascii="SimSun" w:hAnsi="SimSun"/>
          <w:b w:val="false"/>
          <w:i w:val="false"/>
          <w:color w:val="000000"/>
          <w:sz w:val="21"/>
        </w:rPr>
        <w:t>4、创新创业路径：139学分</w:t>
      </w:r>
      <w:r>
        <w:br/>
      </w:r>
      <w:r>
        <w:br/>
      </w:r>
      <w:r>
        <w:rPr>
          <w:rFonts w:ascii="SimSun" w:hAnsi="SimSun"/>
          <w:b w:val="false"/>
          <w:i w:val="false"/>
          <w:color w:val="000000"/>
          <w:sz w:val="21"/>
        </w:rPr>
        <w:t xml:space="preserve">  本路径学生至少需要完成139学分，包括通识教育课程45学分，专业培养课程55学分，融合创新能力培养7学分，及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w:t>
      </w:r>
      <w:r>
        <w:br/>
      </w:r>
      <w:r>
        <w:br/>
      </w:r>
      <w:r>
        <w:rPr>
          <w:rFonts w:ascii="SimSun" w:hAnsi="SimSun"/>
          <w:b w:val="false"/>
          <w:i w:val="false"/>
          <w:color w:val="000000"/>
          <w:sz w:val="21"/>
        </w:rPr>
        <w:t>5、哲学+AI双学士学位项目：170学分</w:t>
      </w:r>
      <w:r>
        <w:br/>
      </w:r>
      <w:r>
        <w:br/>
      </w:r>
      <w:r>
        <w:rPr>
          <w:rFonts w:ascii="SimSun" w:hAnsi="SimSun"/>
          <w:b w:val="false"/>
          <w:i w:val="false"/>
          <w:color w:val="000000"/>
          <w:sz w:val="21"/>
        </w:rPr>
        <w:t xml:space="preserve">  本路径学生必须修满教学计划规定的170学分，包括通识教育课程（含通识教育核心课程和专项教育课程）41学分、专业培养课程99学分、多元发展路径课程23学分、融合创新能力课程7学分，总学分不少于170学分（含实践学分不少于43学分；含美育学分不少于2学分，其中至少在“美学和艺术史论类”或“艺术鉴赏和评论类”课程中修读1学分，并至少参与一项艺术实践活动；劳动教育不少于32学时，并满足劳动周教育要求），达到学位要求者授予哲学、工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4年级结束时，如达到学士学位要求者授予哲学学士学位。  </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（3）在此基础上，达到哲学学院“本科荣誉证书”获得条件的授予“本科荣誉证书”，具体要求请见哲学学院“本科荣誉项目”实施方案。</w:t>
      </w:r>
      <w:r>
        <w:br/>
      </w:r>
      <w:r>
        <w:br/>
      </w:r>
      <w:r>
        <w:rPr>
          <w:rFonts w:ascii="SimSun" w:hAnsi="SimSun"/>
          <w:b w:val="false"/>
          <w:i w:val="false"/>
          <w:color w:val="000000"/>
          <w:sz w:val="21"/>
        </w:rPr>
        <w:t>2. 哲学+AI学士双学位项目，如达到哲学-人工智能双学士学位要求者授予哲学-工学双学士学位。</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8786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78667" cy="1608667"/>
                    </a:xfrm>
                    <a:prstGeom prst="rect">
                      <a:avLst/>
                    </a:prstGeom>
                  </pic:spPr>
                </pic:pic>
              </a:graphicData>
            </a:graphic>
          </wp:inline>
        </w:drawing>
      </w:r>
    </w:p>
    <w:p>
      <w:pPr>
        <w:spacing w:after="0"/>
        <w:ind w:left="0"/>
        <w:jc w:val="left"/>
      </w:pPr>
      <w:r>
        <w:rPr>
          <w:rFonts w:ascii="SimSun" w:hAnsi="SimSun"/>
          <w:b w:val="false"/>
          <w:i w:val="false"/>
          <w:color w:val="000000"/>
          <w:sz w:val="21"/>
        </w:rPr>
        <w:t>1.课程体系</w:t>
      </w:r>
      <w:r>
        <w:br/>
      </w:r>
      <w:r>
        <w:br/>
      </w:r>
      <w:r>
        <w:rPr>
          <w:rFonts w:ascii="SimSun" w:hAnsi="SimSun"/>
          <w:b w:val="false"/>
          <w:i w:val="false"/>
          <w:color w:val="000000"/>
          <w:sz w:val="21"/>
        </w:rPr>
        <w:t xml:space="preserve">  三阶课程：以“导论”、“哲学史”为代表的大类基础课程为一阶课程；五大专业及方向（哲学、宗教学、科学哲学与逻辑学、国学、艺术哲学）核心课程为二阶课程；五大专业方向的进阶研讨类课程为三阶课程。</w:t>
      </w:r>
      <w:r>
        <w:br/>
      </w:r>
      <w:r>
        <w:br/>
      </w:r>
      <w:r>
        <w:rPr>
          <w:rFonts w:ascii="SimSun" w:hAnsi="SimSun"/>
          <w:b w:val="false"/>
          <w:i w:val="false"/>
          <w:color w:val="000000"/>
          <w:sz w:val="21"/>
        </w:rPr>
        <w:t xml:space="preserve">  两翼延伸：学术能力培养+社会实践训练，通过数智赋能的通识教育、专业培养两方面帮助学生固牢个人发展基础。此外，学生可以进一步根据自己的兴趣或个人发展规划，在导师指导下选择某一多元发展路径，根据社会经济发展需求和个人志趣实现全方位成长。</w:t>
      </w:r>
    </w:p>
    <w:p>
      <w:pPr>
        <w:spacing w:after="0"/>
        <w:ind w:left="0"/>
        <w:jc w:val="left"/>
      </w:pPr>
      <w:r>
        <w:rPr>
          <w:rFonts w:ascii="SimSun" w:hAnsi="SimSun"/>
          <w:b w:val="false"/>
          <w:i w:val="false"/>
          <w:color w:val="000000"/>
          <w:sz w:val="21"/>
        </w:rPr>
        <w:t>2.科研训练体系</w:t>
      </w:r>
      <w:r>
        <w:br/>
      </w:r>
      <w:r>
        <w:br/>
      </w:r>
      <w:r>
        <w:rPr>
          <w:rFonts w:ascii="SimSun" w:hAnsi="SimSun"/>
          <w:b w:val="false"/>
          <w:i w:val="false"/>
          <w:color w:val="000000"/>
          <w:sz w:val="21"/>
        </w:rPr>
        <w:t xml:space="preserve">  围绕复芏计划展开多种学术项目：结合曦源、望道等学术项目的公开征集课题以及个人学术兴趣申请学术项目，获取相关导师的指导，支撑具有多学科、全球化视野的“干细胞式”拔尖创新人才的培养。</w:t>
      </w:r>
      <w:r>
        <w:br/>
      </w:r>
      <w:r>
        <w:br/>
      </w:r>
      <w:r>
        <w:rPr>
          <w:rFonts w:ascii="SimSun" w:hAnsi="SimSun"/>
          <w:b w:val="false"/>
          <w:i w:val="false"/>
          <w:color w:val="000000"/>
          <w:sz w:val="21"/>
        </w:rPr>
        <w:t xml:space="preserve">  提供大量读书班和论文研讨会：导师们举办各种主题的读书班，带领学生们深入研读哲学经典著作，帮助掌握阅读哲学原典的方法；学院建立机制保障，学生自发申请各类论文研讨会，互相点评。</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30学分，含思想政治理论课19学分，七大模块课程10学分（每模块最多修读1门课程，回避哲学学院所开设的课程代码为PHIL119开头的课程，即修读课程代码为PHIL119开头的课程将不计入七大模块10个学分中，只可认定为任意选修课程学分），“国家安全教育”模块设必修课程“大学生国家安全教育”，课程学分设为1学分，学生须完成在线课程（16学时）和线下学习（4学时）的修读任务。课程设置详见核心课程七大模块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要求修读15学分，包括大学外语、人工智能教学专项 、体育、军事课程、心理健康教育、实验室安全教育、留学生中国语言与文化素养等课程。课程设置详见专项教育课程和专业修读建议。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专业培养课程包括大类基础课程和专业核心教育课程。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要求修读人文类基础课程14学分，必修课程5门，其中“哲学导论”和“逻辑学”，要求在第一学期修完。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人文类基础课程</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中国文学经典</w:t>
            </w:r>
            <w:r>
              <w:br/>
            </w:r>
            <w:r>
              <w:br/>
            </w:r>
            <w:r>
              <w:rPr>
                <w:rFonts w:ascii="SimSun" w:hAnsi="SimSun"/>
                <w:b w:val="false"/>
                <w:i w:val="false"/>
                <w:color w:val="000000"/>
                <w:sz w:val="21"/>
              </w:rPr>
              <w:t>Chinese Literary Classics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CHIN10005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中国古代文明</w:t>
            </w:r>
            <w:r>
              <w:br/>
            </w:r>
            <w:r>
              <w:br/>
            </w:r>
            <w:r>
              <w:rPr>
                <w:rFonts w:ascii="SimSun" w:hAnsi="SimSun"/>
                <w:b w:val="false"/>
                <w:i w:val="false"/>
                <w:color w:val="000000"/>
                <w:sz w:val="21"/>
              </w:rPr>
              <w:t>The Chinese Tradional Civilization</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HIST10006</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哲学导论</w:t>
            </w:r>
            <w:r>
              <w:br/>
            </w:r>
            <w:r>
              <w:br/>
            </w:r>
            <w:r>
              <w:rPr>
                <w:rFonts w:ascii="SimSun" w:hAnsi="SimSun"/>
                <w:b w:val="false"/>
                <w:i w:val="false"/>
                <w:color w:val="000000"/>
                <w:sz w:val="21"/>
              </w:rPr>
              <w:t>Introduction to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逻辑学</w:t>
            </w:r>
            <w:r>
              <w:br/>
            </w:r>
            <w:r>
              <w:br/>
            </w:r>
            <w:r>
              <w:rPr>
                <w:rFonts w:ascii="SimSun" w:hAnsi="SimSun"/>
                <w:b w:val="false"/>
                <w:i w:val="false"/>
                <w:color w:val="000000"/>
                <w:sz w:val="21"/>
              </w:rPr>
              <w:t>Logic</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PHIL10003</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宗教学导论</w:t>
            </w:r>
            <w:r>
              <w:br/>
            </w:r>
            <w:r>
              <w:br/>
            </w:r>
            <w:r>
              <w:rPr>
                <w:rFonts w:ascii="SimSun" w:hAnsi="SimSun"/>
                <w:b w:val="false"/>
                <w:i w:val="false"/>
                <w:color w:val="000000"/>
                <w:sz w:val="21"/>
              </w:rPr>
              <w:t>Introduction to Religious Studies</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PHIL10004</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逻辑学和数理逻辑课程修读说明：（1）一般修读顺序：“逻辑学”（3学分）大一上学期必修，“数理逻辑”（2学分）大一下学期必修；（2）可选修读顺序： 鼓励数学基础较好的同学在大一上学期修读“数理逻辑（H）”（4学分荣誉课）。学生可自由选择以上两种修读方式之一，选修“数理逻辑（H）”（4学分荣誉课）可免修“逻辑学”（3学分）和“数理逻辑”（2学分普通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要求修读41学分（部分课程学分可用荣誉课程学分替换），课程设置如下：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先秦哲学</w:t>
            </w:r>
            <w:r>
              <w:br/>
            </w:r>
            <w:r>
              <w:br/>
            </w:r>
            <w:r>
              <w:rPr>
                <w:rFonts w:ascii="SimSun" w:hAnsi="SimSun"/>
                <w:b w:val="false"/>
                <w:i w:val="false"/>
                <w:color w:val="000000"/>
                <w:sz w:val="21"/>
              </w:rPr>
              <w:t>Pre-Qin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汉晋隋唐哲学</w:t>
            </w:r>
            <w:r>
              <w:br/>
            </w:r>
            <w:r>
              <w:br/>
            </w:r>
            <w:r>
              <w:rPr>
                <w:rFonts w:ascii="SimSun" w:hAnsi="SimSun"/>
                <w:b w:val="false"/>
                <w:i w:val="false"/>
                <w:color w:val="000000"/>
                <w:sz w:val="21"/>
              </w:rPr>
              <w:t>Philosophy of the Han, Jin, Sui and Tang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艺术史理论与方法</w:t>
            </w:r>
            <w:r>
              <w:br/>
            </w:r>
            <w:r>
              <w:br/>
            </w:r>
            <w:r>
              <w:rPr>
                <w:rFonts w:ascii="SimSun" w:hAnsi="SimSun"/>
                <w:b w:val="false"/>
                <w:i w:val="false"/>
                <w:color w:val="000000"/>
                <w:sz w:val="21"/>
              </w:rPr>
              <w:t>Theory and Methodology of History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马克思主义哲学导论</w:t>
            </w:r>
            <w:r>
              <w:br/>
            </w:r>
            <w:r>
              <w:br/>
            </w:r>
            <w:r>
              <w:rPr>
                <w:rFonts w:ascii="SimSun" w:hAnsi="SimSun"/>
                <w:b w:val="false"/>
                <w:i w:val="false"/>
                <w:color w:val="000000"/>
                <w:sz w:val="21"/>
              </w:rPr>
              <w:t>Introduction to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宋元明清哲学</w:t>
            </w:r>
            <w:r>
              <w:br/>
            </w:r>
            <w:r>
              <w:br/>
            </w:r>
            <w:r>
              <w:rPr>
                <w:rFonts w:ascii="SimSun" w:hAnsi="SimSun"/>
                <w:b w:val="false"/>
                <w:i w:val="false"/>
                <w:color w:val="000000"/>
                <w:sz w:val="21"/>
              </w:rPr>
              <w:t>Philosophy in Song, Yuan,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西方艺术史（上）</w:t>
            </w:r>
            <w:r>
              <w:br/>
            </w:r>
            <w:r>
              <w:br/>
            </w:r>
            <w:r>
              <w:rPr>
                <w:rFonts w:ascii="SimSun" w:hAnsi="SimSun"/>
                <w:b w:val="false"/>
                <w:i w:val="false"/>
                <w:color w:val="000000"/>
                <w:sz w:val="21"/>
              </w:rPr>
              <w:t>History of Western Art（I）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西方艺术史（下）</w:t>
            </w:r>
            <w:r>
              <w:br/>
            </w:r>
            <w:r>
              <w:br/>
            </w:r>
            <w:r>
              <w:rPr>
                <w:rFonts w:ascii="SimSun" w:hAnsi="SimSun"/>
                <w:b w:val="false"/>
                <w:i w:val="false"/>
                <w:color w:val="000000"/>
                <w:sz w:val="21"/>
              </w:rPr>
              <w:t>History of Western Art（II）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美学与艺术哲学基础</w:t>
            </w:r>
            <w:r>
              <w:br/>
            </w:r>
            <w:r>
              <w:br/>
            </w:r>
            <w:r>
              <w:rPr>
                <w:rFonts w:ascii="SimSun" w:hAnsi="SimSun"/>
                <w:b w:val="false"/>
                <w:i w:val="false"/>
                <w:color w:val="000000"/>
                <w:sz w:val="21"/>
              </w:rPr>
              <w:t>Introduction to Aesthetics and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现代欧陆哲学</w:t>
            </w:r>
            <w:r>
              <w:br/>
            </w:r>
            <w:r>
              <w:br/>
            </w:r>
            <w:r>
              <w:rPr>
                <w:rFonts w:ascii="SimSun" w:hAnsi="SimSun"/>
                <w:b w:val="false"/>
                <w:i w:val="false"/>
                <w:color w:val="000000"/>
                <w:sz w:val="21"/>
              </w:rPr>
              <w:t>Contemporary Continental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西方马克思主义哲学</w:t>
            </w:r>
            <w:r>
              <w:br/>
            </w:r>
            <w:r>
              <w:br/>
            </w:r>
            <w:r>
              <w:rPr>
                <w:rFonts w:ascii="SimSun" w:hAnsi="SimSun"/>
                <w:b w:val="false"/>
                <w:i w:val="false"/>
                <w:color w:val="000000"/>
                <w:sz w:val="21"/>
              </w:rPr>
              <w:t>Western Marxist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PHIL30051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中国艺术史（上）</w:t>
            </w:r>
            <w:r>
              <w:br/>
            </w:r>
            <w:r>
              <w:br/>
            </w:r>
            <w:r>
              <w:rPr>
                <w:rFonts w:ascii="SimSun" w:hAnsi="SimSun"/>
                <w:b w:val="false"/>
                <w:i w:val="false"/>
                <w:color w:val="000000"/>
                <w:sz w:val="21"/>
              </w:rPr>
              <w:t>Art of China I (From the Pre-historic Time to the Tang)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中国艺术史（下）</w:t>
            </w:r>
            <w:r>
              <w:br/>
            </w:r>
            <w:r>
              <w:br/>
            </w:r>
            <w:r>
              <w:rPr>
                <w:rFonts w:ascii="SimSun" w:hAnsi="SimSun"/>
                <w:b w:val="false"/>
                <w:i w:val="false"/>
                <w:color w:val="000000"/>
                <w:sz w:val="21"/>
              </w:rPr>
              <w:t>Art of China II (From Northern Song to Qing)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西方哲学史（上）</w:t>
            </w:r>
            <w:r>
              <w:br/>
            </w:r>
            <w:r>
              <w:br/>
            </w:r>
            <w:r>
              <w:rPr>
                <w:rFonts w:ascii="SimSun" w:hAnsi="SimSun"/>
                <w:b w:val="false"/>
                <w:i w:val="false"/>
                <w:color w:val="000000"/>
                <w:sz w:val="21"/>
              </w:rPr>
              <w:t>History of Western Philosophy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西方哲学史（下）</w:t>
            </w:r>
            <w:r>
              <w:br/>
            </w:r>
            <w:r>
              <w:br/>
            </w:r>
            <w:r>
              <w:rPr>
                <w:rFonts w:ascii="SimSun" w:hAnsi="SimSun"/>
                <w:b w:val="false"/>
                <w:i w:val="false"/>
                <w:color w:val="000000"/>
                <w:sz w:val="21"/>
              </w:rPr>
              <w:t>History of Western Philosophy Ⅱ</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限定选修课</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艺术哲学原著选读</w:t>
            </w:r>
            <w:r>
              <w:br/>
            </w:r>
            <w:r>
              <w:br/>
            </w:r>
            <w:r>
              <w:rPr>
                <w:rFonts w:ascii="SimSun" w:hAnsi="SimSun"/>
                <w:b w:val="false"/>
                <w:i w:val="false"/>
                <w:color w:val="000000"/>
                <w:sz w:val="21"/>
              </w:rPr>
              <w:t>Selected Readings in Philosophy of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美学原著选读</w:t>
            </w:r>
            <w:r>
              <w:br/>
            </w:r>
            <w:r>
              <w:br/>
            </w:r>
            <w:r>
              <w:rPr>
                <w:rFonts w:ascii="SimSun" w:hAnsi="SimSun"/>
                <w:b w:val="false"/>
                <w:i w:val="false"/>
                <w:color w:val="000000"/>
                <w:sz w:val="21"/>
              </w:rPr>
              <w:t>Selected Readings in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PHIL30074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艺术理论原著选读</w:t>
            </w:r>
            <w:r>
              <w:br/>
            </w:r>
            <w:r>
              <w:br/>
            </w:r>
            <w:r>
              <w:rPr>
                <w:rFonts w:ascii="SimSun" w:hAnsi="SimSun"/>
                <w:b w:val="false"/>
                <w:i w:val="false"/>
                <w:color w:val="000000"/>
                <w:sz w:val="21"/>
              </w:rPr>
              <w:t>Selected Original Works of Art Theory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包括专业进阶路径、荣誉项目、跨学科发展路径、哲学+AI双学士学位、创新创业等不同路径，要求在院系专业导师指导下选择1条发展路径，按路径要求修读课程。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修满32学分，要求在"专业进阶课程I"课程中修读至少18学分，在"专业进阶课程II"课程中修读至少14学分（其中须选修1门专业外语，不限方向，限选1门）。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专业进阶课程I</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要求修读18学分，以下每组至少选修1门，其余可在院内其他专业方向"专业进阶课程I"自由选择。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A组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艺术与科技</w:t>
            </w:r>
            <w:r>
              <w:br/>
            </w:r>
            <w:r>
              <w:br/>
            </w:r>
            <w:r>
              <w:rPr>
                <w:rFonts w:ascii="SimSun" w:hAnsi="SimSun"/>
                <w:b w:val="false"/>
                <w:i w:val="false"/>
                <w:color w:val="000000"/>
                <w:sz w:val="21"/>
              </w:rPr>
              <w:t>Art, Science and Technology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图像与观念</w:t>
            </w:r>
            <w:r>
              <w:br/>
            </w:r>
            <w:r>
              <w:br/>
            </w:r>
            <w:r>
              <w:rPr>
                <w:rFonts w:ascii="SimSun" w:hAnsi="SimSun"/>
                <w:b w:val="false"/>
                <w:i w:val="false"/>
                <w:color w:val="000000"/>
                <w:sz w:val="21"/>
              </w:rPr>
              <w:t>Images and Ideas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视觉媒介研究</w:t>
            </w:r>
            <w:r>
              <w:br/>
            </w:r>
            <w:r>
              <w:br/>
            </w:r>
            <w:r>
              <w:rPr>
                <w:rFonts w:ascii="SimSun" w:hAnsi="SimSun"/>
                <w:b w:val="false"/>
                <w:i w:val="false"/>
                <w:color w:val="000000"/>
                <w:sz w:val="21"/>
              </w:rPr>
              <w:t>Research on Visual Media</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中国近现代艺术</w:t>
            </w:r>
            <w:r>
              <w:br/>
            </w:r>
            <w:r>
              <w:br/>
            </w:r>
            <w:r>
              <w:rPr>
                <w:rFonts w:ascii="SimSun" w:hAnsi="SimSun"/>
                <w:b w:val="false"/>
                <w:i w:val="false"/>
                <w:color w:val="000000"/>
                <w:sz w:val="21"/>
              </w:rPr>
              <w:t>Chinese Modern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西方现当代艺术</w:t>
            </w:r>
            <w:r>
              <w:br/>
            </w:r>
            <w:r>
              <w:br/>
            </w:r>
            <w:r>
              <w:rPr>
                <w:rFonts w:ascii="SimSun" w:hAnsi="SimSun"/>
                <w:b w:val="false"/>
                <w:i w:val="false"/>
                <w:color w:val="000000"/>
                <w:sz w:val="21"/>
              </w:rPr>
              <w:t>Western Modern and Contemporary Art</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B组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音乐与哲学</w:t>
            </w:r>
            <w:r>
              <w:br/>
            </w:r>
            <w:r>
              <w:br/>
            </w:r>
            <w:r>
              <w:rPr>
                <w:rFonts w:ascii="SimSun" w:hAnsi="SimSun"/>
                <w:b w:val="false"/>
                <w:i w:val="false"/>
                <w:color w:val="000000"/>
                <w:sz w:val="21"/>
              </w:rPr>
              <w:t>Music and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摄影与哲学</w:t>
            </w:r>
            <w:r>
              <w:br/>
            </w:r>
            <w:r>
              <w:br/>
            </w:r>
            <w:r>
              <w:rPr>
                <w:rFonts w:ascii="SimSun" w:hAnsi="SimSun"/>
                <w:b w:val="false"/>
                <w:i w:val="false"/>
                <w:color w:val="000000"/>
                <w:sz w:val="21"/>
              </w:rPr>
              <w:t>Photography and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建筑艺术导论</w:t>
            </w:r>
            <w:r>
              <w:br/>
            </w:r>
            <w:r>
              <w:br/>
            </w:r>
            <w:r>
              <w:rPr>
                <w:rFonts w:ascii="SimSun" w:hAnsi="SimSun"/>
                <w:b w:val="false"/>
                <w:i w:val="false"/>
                <w:color w:val="000000"/>
                <w:sz w:val="21"/>
              </w:rPr>
              <w:t>Introduction to Architectural Art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电影与哲学</w:t>
            </w:r>
            <w:r>
              <w:br/>
            </w:r>
            <w:r>
              <w:br/>
            </w:r>
            <w:r>
              <w:rPr>
                <w:rFonts w:ascii="SimSun" w:hAnsi="SimSun"/>
                <w:b w:val="false"/>
                <w:i w:val="false"/>
                <w:color w:val="000000"/>
                <w:sz w:val="21"/>
              </w:rPr>
              <w:t>Philosophy and Film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悲剧与哲学</w:t>
            </w:r>
            <w:r>
              <w:br/>
            </w:r>
            <w:r>
              <w:br/>
            </w:r>
            <w:r>
              <w:rPr>
                <w:rFonts w:ascii="SimSun" w:hAnsi="SimSun"/>
                <w:b w:val="false"/>
                <w:i w:val="false"/>
                <w:color w:val="000000"/>
                <w:sz w:val="21"/>
              </w:rPr>
              <w:t>Tragedy and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C组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中国书法理论与实践</w:t>
            </w:r>
            <w:r>
              <w:br/>
            </w:r>
            <w:r>
              <w:br/>
            </w:r>
            <w:r>
              <w:rPr>
                <w:rFonts w:ascii="SimSun" w:hAnsi="SimSun"/>
                <w:b w:val="false"/>
                <w:i w:val="false"/>
                <w:color w:val="000000"/>
                <w:sz w:val="21"/>
              </w:rPr>
              <w:t>Theory and Practice of Chinese Calligraphy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中国绘画与画论</w:t>
            </w:r>
            <w:r>
              <w:br/>
            </w:r>
            <w:r>
              <w:br/>
            </w:r>
            <w:r>
              <w:rPr>
                <w:rFonts w:ascii="SimSun" w:hAnsi="SimSun"/>
                <w:b w:val="false"/>
                <w:i w:val="false"/>
                <w:color w:val="000000"/>
                <w:sz w:val="21"/>
              </w:rPr>
              <w:t>Chinese Painting and Theory of Painting</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PHIL30134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中国美术考古</w:t>
            </w:r>
            <w:r>
              <w:br/>
            </w:r>
            <w:r>
              <w:br/>
            </w:r>
            <w:r>
              <w:rPr>
                <w:rFonts w:ascii="SimSun" w:hAnsi="SimSun"/>
                <w:b w:val="false"/>
                <w:i w:val="false"/>
                <w:color w:val="000000"/>
                <w:sz w:val="21"/>
              </w:rPr>
              <w:t>Chinese Art and Archaeology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中国墓葬艺术导论</w:t>
            </w:r>
            <w:r>
              <w:br/>
            </w:r>
            <w:r>
              <w:br/>
            </w:r>
            <w:r>
              <w:rPr>
                <w:rFonts w:ascii="SimSun" w:hAnsi="SimSun"/>
                <w:b w:val="false"/>
                <w:i w:val="false"/>
                <w:color w:val="000000"/>
                <w:sz w:val="21"/>
              </w:rPr>
              <w:t>History of Chinese Funerary Art</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CULT30015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艺术批评与策展</w:t>
            </w:r>
            <w:r>
              <w:br/>
            </w:r>
            <w:r>
              <w:br/>
            </w:r>
            <w:r>
              <w:rPr>
                <w:rFonts w:ascii="SimSun" w:hAnsi="SimSun"/>
                <w:b w:val="false"/>
                <w:i w:val="false"/>
                <w:color w:val="000000"/>
                <w:sz w:val="21"/>
              </w:rPr>
              <w:t>Art Criticism and Curating</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PHIL30146</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D组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7"/>
        <w:gridCol w:w="806"/>
        <w:gridCol w:w="806"/>
        <w:gridCol w:w="1129"/>
        <w:gridCol w:w="1696"/>
        <w:gridCol w:w="806"/>
        <w:gridCol w:w="806"/>
        <w:gridCol w:w="806"/>
        <w:gridCol w:w="806"/>
        <w:gridCol w:w="1130"/>
        <w:gridCol w:w="1616"/>
      </w:tblGrid>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《文心雕龙》精读</w:t>
            </w:r>
            <w:r>
              <w:br/>
            </w:r>
            <w:r>
              <w:br/>
            </w:r>
            <w:r>
              <w:rPr>
                <w:rFonts w:ascii="SimSun" w:hAnsi="SimSun"/>
                <w:b w:val="false"/>
                <w:i w:val="false"/>
                <w:color w:val="000000"/>
                <w:sz w:val="21"/>
              </w:rPr>
              <w:t>Close Reading of The Literary Mind and the Carving of Dragons</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CHIN30014</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康德哲学</w:t>
            </w:r>
            <w:r>
              <w:br/>
            </w:r>
            <w:r>
              <w:br/>
            </w:r>
            <w:r>
              <w:rPr>
                <w:rFonts w:ascii="SimSun" w:hAnsi="SimSun"/>
                <w:b w:val="false"/>
                <w:i w:val="false"/>
                <w:color w:val="000000"/>
                <w:sz w:val="21"/>
              </w:rPr>
              <w:t>Kantian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PHIL30008</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w:t>
            </w:r>
            <w:r>
              <w:br/>
            </w:r>
            <w:r>
              <w:br/>
            </w:r>
            <w:r>
              <w:rPr>
                <w:rFonts w:ascii="SimSun" w:hAnsi="SimSun"/>
                <w:b w:val="false"/>
                <w:i w:val="false"/>
                <w:color w:val="000000"/>
                <w:sz w:val="21"/>
              </w:rPr>
              <w:t>Philosophy of Christianity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PHIL30009</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佛教哲学</w:t>
            </w:r>
            <w:r>
              <w:br/>
            </w:r>
            <w:r>
              <w:br/>
            </w:r>
            <w:r>
              <w:rPr>
                <w:rFonts w:ascii="SimSun" w:hAnsi="SimSun"/>
                <w:b w:val="false"/>
                <w:i w:val="false"/>
                <w:color w:val="000000"/>
                <w:sz w:val="21"/>
              </w:rPr>
              <w:t>Philosophy of Buddhism</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PHIL30011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现代法国哲学</w:t>
            </w:r>
            <w:r>
              <w:br/>
            </w:r>
            <w:r>
              <w:br/>
            </w:r>
            <w:r>
              <w:rPr>
                <w:rFonts w:ascii="SimSun" w:hAnsi="SimSun"/>
                <w:b w:val="false"/>
                <w:i w:val="false"/>
                <w:color w:val="000000"/>
                <w:sz w:val="21"/>
              </w:rPr>
              <w:t>Contemporary French Philosophy</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PHIL30021</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人工智能哲学</w:t>
            </w:r>
            <w:r>
              <w:br/>
            </w:r>
            <w:r>
              <w:br/>
            </w:r>
            <w:r>
              <w:rPr>
                <w:rFonts w:ascii="SimSun" w:hAnsi="SimSun"/>
                <w:b w:val="false"/>
                <w:i w:val="false"/>
                <w:color w:val="000000"/>
                <w:sz w:val="21"/>
              </w:rPr>
              <w:t>Philosophy of Artificial Intelligence</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PHIL30047</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E组</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德国古典美学专题研究</w:t>
            </w:r>
            <w:r>
              <w:br/>
            </w:r>
            <w:r>
              <w:br/>
            </w:r>
            <w:r>
              <w:rPr>
                <w:rFonts w:ascii="SimSun" w:hAnsi="SimSun"/>
                <w:b w:val="false"/>
                <w:i w:val="false"/>
                <w:color w:val="000000"/>
                <w:sz w:val="21"/>
              </w:rPr>
              <w:t>Topics on German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中西艺术专题</w:t>
            </w:r>
            <w:r>
              <w:br/>
            </w:r>
            <w:r>
              <w:br/>
            </w:r>
            <w:r>
              <w:rPr>
                <w:rFonts w:ascii="SimSun" w:hAnsi="SimSun"/>
                <w:b w:val="false"/>
                <w:i w:val="false"/>
                <w:color w:val="000000"/>
                <w:sz w:val="21"/>
              </w:rPr>
              <w:t>The Seminar of Chinese and West Arts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黑格尔美学思想</w:t>
            </w:r>
            <w:r>
              <w:br/>
            </w:r>
            <w:r>
              <w:br/>
            </w:r>
            <w:r>
              <w:rPr>
                <w:rFonts w:ascii="SimSun" w:hAnsi="SimSun"/>
                <w:b w:val="false"/>
                <w:i w:val="false"/>
                <w:color w:val="000000"/>
                <w:sz w:val="21"/>
              </w:rPr>
              <w:t>On Hegel’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中国古典美学专题</w:t>
            </w:r>
            <w:r>
              <w:br/>
            </w:r>
            <w:r>
              <w:br/>
            </w:r>
            <w:r>
              <w:rPr>
                <w:rFonts w:ascii="SimSun" w:hAnsi="SimSun"/>
                <w:b w:val="false"/>
                <w:i w:val="false"/>
                <w:color w:val="000000"/>
                <w:sz w:val="21"/>
              </w:rPr>
              <w:t>Topics in Chinese Classical Aesthetics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艺术展览与艺术理论专题</w:t>
            </w:r>
            <w:r>
              <w:br/>
            </w:r>
            <w:r>
              <w:br/>
            </w:r>
            <w:r>
              <w:rPr>
                <w:rFonts w:ascii="SimSun" w:hAnsi="SimSun"/>
                <w:b w:val="false"/>
                <w:i w:val="false"/>
                <w:color w:val="000000"/>
                <w:sz w:val="21"/>
              </w:rPr>
              <w:t>Topical Studies of Art Exhibitions and Theories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当代西方艺术哲学</w:t>
            </w:r>
            <w:r>
              <w:br/>
            </w:r>
            <w:r>
              <w:br/>
            </w:r>
            <w:r>
              <w:rPr>
                <w:rFonts w:ascii="SimSun" w:hAnsi="SimSun"/>
                <w:b w:val="false"/>
                <w:i w:val="false"/>
                <w:color w:val="000000"/>
                <w:sz w:val="21"/>
              </w:rPr>
              <w:t>Contemporary Western Philosophy of Art</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PHIL50046</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专业进阶课程II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要求在本"专业进阶课程II"中修读至少14学分,须选修1门专业外语（不限方向，限选1门）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《1844手稿》研究</w:t>
            </w:r>
            <w:r>
              <w:br/>
            </w:r>
            <w:r>
              <w:br/>
            </w:r>
            <w:r>
              <w:rPr>
                <w:rFonts w:ascii="SimSun" w:hAnsi="SimSun"/>
                <w:b w:val="false"/>
                <w:i w:val="false"/>
                <w:color w:val="000000"/>
                <w:sz w:val="21"/>
              </w:rPr>
              <w:t>Study of 1844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《资本论》及其手稿</w:t>
            </w:r>
            <w:r>
              <w:br/>
            </w:r>
            <w:r>
              <w:br/>
            </w:r>
            <w:r>
              <w:rPr>
                <w:rFonts w:ascii="SimSun" w:hAnsi="SimSun"/>
                <w:b w:val="false"/>
                <w:i w:val="false"/>
                <w:color w:val="000000"/>
                <w:sz w:val="21"/>
              </w:rPr>
              <w:t>Studies on CAPITAL and its Manuscripts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近代认识论研究</w:t>
            </w:r>
            <w:r>
              <w:br/>
            </w:r>
            <w:r>
              <w:br/>
            </w:r>
            <w:r>
              <w:rPr>
                <w:rFonts w:ascii="SimSun" w:hAnsi="SimSun"/>
                <w:b w:val="false"/>
                <w:i w:val="false"/>
                <w:color w:val="000000"/>
                <w:sz w:val="21"/>
              </w:rPr>
              <w:t>Study of Modern Epistemology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现代政治哲学研究</w:t>
            </w:r>
            <w:r>
              <w:br/>
            </w:r>
            <w:r>
              <w:br/>
            </w:r>
            <w:r>
              <w:rPr>
                <w:rFonts w:ascii="SimSun" w:hAnsi="SimSun"/>
                <w:b w:val="false"/>
                <w:i w:val="false"/>
                <w:color w:val="000000"/>
                <w:sz w:val="21"/>
              </w:rPr>
              <w:t>Topics on Modern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德国观念论</w:t>
            </w:r>
            <w:r>
              <w:br/>
            </w:r>
            <w:r>
              <w:br/>
            </w:r>
            <w:r>
              <w:rPr>
                <w:rFonts w:ascii="SimSun" w:hAnsi="SimSun"/>
                <w:b w:val="false"/>
                <w:i w:val="false"/>
                <w:color w:val="000000"/>
                <w:sz w:val="21"/>
              </w:rPr>
              <w:t>German Idealism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福柯研究</w:t>
            </w:r>
            <w:r>
              <w:br/>
            </w:r>
            <w:r>
              <w:br/>
            </w:r>
            <w:r>
              <w:rPr>
                <w:rFonts w:ascii="SimSun" w:hAnsi="SimSun"/>
                <w:b w:val="false"/>
                <w:i w:val="false"/>
                <w:color w:val="000000"/>
                <w:sz w:val="21"/>
              </w:rPr>
              <w:t>Study of Foucault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意识形态理论研究</w:t>
            </w:r>
            <w:r>
              <w:br/>
            </w:r>
            <w:r>
              <w:br/>
            </w:r>
            <w:r>
              <w:rPr>
                <w:rFonts w:ascii="SimSun" w:hAnsi="SimSun"/>
                <w:b w:val="false"/>
                <w:i w:val="false"/>
                <w:color w:val="000000"/>
                <w:sz w:val="21"/>
              </w:rPr>
              <w:t>Study of Ideology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启蒙哲学</w:t>
            </w:r>
            <w:r>
              <w:br/>
            </w:r>
            <w:r>
              <w:br/>
            </w:r>
            <w:r>
              <w:rPr>
                <w:rFonts w:ascii="SimSun" w:hAnsi="SimSun"/>
                <w:b w:val="false"/>
                <w:i w:val="false"/>
                <w:color w:val="000000"/>
                <w:sz w:val="21"/>
              </w:rPr>
              <w:t>Philosophy of Enlightenment</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国外马克思主义前沿</w:t>
            </w:r>
            <w:r>
              <w:br/>
            </w:r>
            <w:r>
              <w:br/>
            </w:r>
            <w:r>
              <w:rPr>
                <w:rFonts w:ascii="SimSun" w:hAnsi="SimSun"/>
                <w:b w:val="false"/>
                <w:i w:val="false"/>
                <w:color w:val="000000"/>
                <w:sz w:val="21"/>
              </w:rPr>
              <w:t>Frontiers of Marxism Abroad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古希腊哲学专题</w:t>
            </w:r>
            <w:r>
              <w:br/>
            </w:r>
            <w:r>
              <w:br/>
            </w:r>
            <w:r>
              <w:rPr>
                <w:rFonts w:ascii="SimSun" w:hAnsi="SimSun"/>
                <w:b w:val="false"/>
                <w:i w:val="false"/>
                <w:color w:val="000000"/>
                <w:sz w:val="21"/>
              </w:rPr>
              <w:t>Topics in Ancient Greek Philosophy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生命伦理学专题</w:t>
            </w:r>
            <w:r>
              <w:br/>
            </w:r>
            <w:r>
              <w:br/>
            </w:r>
            <w:r>
              <w:rPr>
                <w:rFonts w:ascii="SimSun" w:hAnsi="SimSun"/>
                <w:b w:val="false"/>
                <w:i w:val="false"/>
                <w:color w:val="000000"/>
                <w:sz w:val="21"/>
              </w:rPr>
              <w:t>Topics in Bioethics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中国经学史专题研究</w:t>
            </w:r>
            <w:r>
              <w:br/>
            </w:r>
            <w:r>
              <w:br/>
            </w:r>
            <w:r>
              <w:rPr>
                <w:rFonts w:ascii="SimSun" w:hAnsi="SimSun"/>
                <w:b w:val="false"/>
                <w:i w:val="false"/>
                <w:color w:val="000000"/>
                <w:sz w:val="21"/>
              </w:rPr>
              <w:t>Issues of the History of Confucian Cannonical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朱子学与阳明学研究</w:t>
            </w:r>
            <w:r>
              <w:br/>
            </w:r>
            <w:r>
              <w:br/>
            </w:r>
            <w:r>
              <w:rPr>
                <w:rFonts w:ascii="SimSun" w:hAnsi="SimSun"/>
                <w:b w:val="false"/>
                <w:i w:val="false"/>
                <w:color w:val="000000"/>
                <w:sz w:val="21"/>
              </w:rPr>
              <w:t>Issues of the Zhu Xi school and the Yangming School</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当代新儒家专题研究</w:t>
            </w:r>
            <w:r>
              <w:br/>
            </w:r>
            <w:r>
              <w:br/>
            </w:r>
            <w:r>
              <w:rPr>
                <w:rFonts w:ascii="SimSun" w:hAnsi="SimSun"/>
                <w:b w:val="false"/>
                <w:i w:val="false"/>
                <w:color w:val="000000"/>
                <w:sz w:val="21"/>
              </w:rPr>
              <w:t>Issues of Contemporary New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中国传统政治哲学研究</w:t>
            </w:r>
            <w:r>
              <w:br/>
            </w:r>
            <w:r>
              <w:br/>
            </w:r>
            <w:r>
              <w:rPr>
                <w:rFonts w:ascii="SimSun" w:hAnsi="SimSun"/>
                <w:b w:val="false"/>
                <w:i w:val="false"/>
                <w:color w:val="000000"/>
                <w:sz w:val="21"/>
              </w:rPr>
              <w:t>Issues of Traditional Chinese Political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中西比较哲学专题研究</w:t>
            </w:r>
            <w:r>
              <w:br/>
            </w:r>
            <w:r>
              <w:br/>
            </w:r>
            <w:r>
              <w:rPr>
                <w:rFonts w:ascii="SimSun" w:hAnsi="SimSun"/>
                <w:b w:val="false"/>
                <w:i w:val="false"/>
                <w:color w:val="000000"/>
                <w:sz w:val="21"/>
              </w:rPr>
              <w:t>Chinese and Western Comparative Philosophy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海外中国哲学研究专题</w:t>
            </w:r>
            <w:r>
              <w:br/>
            </w:r>
            <w:r>
              <w:br/>
            </w:r>
            <w:r>
              <w:rPr>
                <w:rFonts w:ascii="SimSun" w:hAnsi="SimSun"/>
                <w:b w:val="false"/>
                <w:i w:val="false"/>
                <w:color w:val="000000"/>
                <w:sz w:val="21"/>
              </w:rPr>
              <w:t>Topics on Overseas Chinese Philosophy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东亚儒学探究</w:t>
            </w:r>
            <w:r>
              <w:br/>
            </w:r>
            <w:r>
              <w:br/>
            </w:r>
            <w:r>
              <w:rPr>
                <w:rFonts w:ascii="SimSun" w:hAnsi="SimSun"/>
                <w:b w:val="false"/>
                <w:i w:val="false"/>
                <w:color w:val="000000"/>
                <w:sz w:val="21"/>
              </w:rPr>
              <w:t>Studies of East Asian Confucianism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力迫法</w:t>
            </w:r>
            <w:r>
              <w:br/>
            </w:r>
            <w:r>
              <w:br/>
            </w:r>
            <w:r>
              <w:rPr>
                <w:rFonts w:ascii="SimSun" w:hAnsi="SimSun"/>
                <w:b w:val="false"/>
                <w:i w:val="false"/>
                <w:color w:val="000000"/>
                <w:sz w:val="21"/>
              </w:rPr>
              <w:t>Forcing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意义理论研究</w:t>
            </w:r>
            <w:r>
              <w:br/>
            </w:r>
            <w:r>
              <w:br/>
            </w:r>
            <w:r>
              <w:rPr>
                <w:rFonts w:ascii="SimSun" w:hAnsi="SimSun"/>
                <w:b w:val="false"/>
                <w:i w:val="false"/>
                <w:color w:val="000000"/>
                <w:sz w:val="21"/>
              </w:rPr>
              <w:t>Study of Theory of Significance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科学实在论研究</w:t>
            </w:r>
            <w:r>
              <w:br/>
            </w:r>
            <w:r>
              <w:br/>
            </w:r>
            <w:r>
              <w:rPr>
                <w:rFonts w:ascii="SimSun" w:hAnsi="SimSun"/>
                <w:b w:val="false"/>
                <w:i w:val="false"/>
                <w:color w:val="000000"/>
                <w:sz w:val="21"/>
              </w:rPr>
              <w:t>Study of Scientific Realism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科学解释研究</w:t>
            </w:r>
            <w:r>
              <w:br/>
            </w:r>
            <w:r>
              <w:br/>
            </w:r>
            <w:r>
              <w:rPr>
                <w:rFonts w:ascii="SimSun" w:hAnsi="SimSun"/>
                <w:b w:val="false"/>
                <w:i w:val="false"/>
                <w:color w:val="000000"/>
                <w:sz w:val="21"/>
              </w:rPr>
              <w:t>Study of Scientific Explanation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PHIL50029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科学实践哲学</w:t>
            </w:r>
            <w:r>
              <w:br/>
            </w:r>
            <w:r>
              <w:br/>
            </w:r>
            <w:r>
              <w:rPr>
                <w:rFonts w:ascii="SimSun" w:hAnsi="SimSun"/>
                <w:b w:val="false"/>
                <w:i w:val="false"/>
                <w:color w:val="000000"/>
                <w:sz w:val="21"/>
              </w:rPr>
              <w:t>Philosophy of Scientific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思考与认知</w:t>
            </w:r>
            <w:r>
              <w:br/>
            </w:r>
            <w:r>
              <w:br/>
            </w:r>
            <w:r>
              <w:rPr>
                <w:rFonts w:ascii="SimSun" w:hAnsi="SimSun"/>
                <w:b w:val="false"/>
                <w:i w:val="false"/>
                <w:color w:val="000000"/>
                <w:sz w:val="21"/>
              </w:rPr>
              <w:t>Thinking and Knowing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模型论进阶</w:t>
            </w:r>
            <w:r>
              <w:br/>
            </w:r>
            <w:r>
              <w:br/>
            </w:r>
            <w:r>
              <w:rPr>
                <w:rFonts w:ascii="SimSun" w:hAnsi="SimSun"/>
                <w:b w:val="false"/>
                <w:i w:val="false"/>
                <w:color w:val="000000"/>
                <w:sz w:val="21"/>
              </w:rPr>
              <w:t>Advanced Model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可计算性理论进阶</w:t>
            </w:r>
            <w:r>
              <w:br/>
            </w:r>
            <w:r>
              <w:br/>
            </w:r>
            <w:r>
              <w:rPr>
                <w:rFonts w:ascii="SimSun" w:hAnsi="SimSun"/>
                <w:b w:val="false"/>
                <w:i w:val="false"/>
                <w:color w:val="000000"/>
                <w:sz w:val="21"/>
              </w:rPr>
              <w:t>Advanced Computability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集合论进阶</w:t>
            </w:r>
            <w:r>
              <w:br/>
            </w:r>
            <w:r>
              <w:br/>
            </w:r>
            <w:r>
              <w:rPr>
                <w:rFonts w:ascii="SimSun" w:hAnsi="SimSun"/>
                <w:b w:val="false"/>
                <w:i w:val="false"/>
                <w:color w:val="000000"/>
                <w:sz w:val="21"/>
              </w:rPr>
              <w:t>Advanced Set Theory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新兴宗教概论</w:t>
            </w:r>
            <w:r>
              <w:br/>
            </w:r>
            <w:r>
              <w:br/>
            </w:r>
            <w:r>
              <w:rPr>
                <w:rFonts w:ascii="SimSun" w:hAnsi="SimSun"/>
                <w:b w:val="false"/>
                <w:i w:val="false"/>
                <w:color w:val="000000"/>
                <w:sz w:val="21"/>
              </w:rPr>
              <w:t>Introduction to Newly Emerging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亚伯拉罕宗教研究</w:t>
            </w:r>
            <w:r>
              <w:br/>
            </w:r>
            <w:r>
              <w:br/>
            </w:r>
            <w:r>
              <w:rPr>
                <w:rFonts w:ascii="SimSun" w:hAnsi="SimSun"/>
                <w:b w:val="false"/>
                <w:i w:val="false"/>
                <w:color w:val="000000"/>
                <w:sz w:val="21"/>
              </w:rPr>
              <w:t>Study of Abraham Religions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明清基督教研究</w:t>
            </w:r>
            <w:r>
              <w:br/>
            </w:r>
            <w:r>
              <w:br/>
            </w:r>
            <w:r>
              <w:rPr>
                <w:rFonts w:ascii="SimSun" w:hAnsi="SimSun"/>
                <w:b w:val="false"/>
                <w:i w:val="false"/>
                <w:color w:val="000000"/>
                <w:sz w:val="21"/>
              </w:rPr>
              <w:t>Study of Christianity of the Ming and Qing Dynasties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环境伦理学</w:t>
            </w:r>
            <w:r>
              <w:br/>
            </w:r>
            <w:r>
              <w:br/>
            </w:r>
            <w:r>
              <w:rPr>
                <w:rFonts w:ascii="SimSun" w:hAnsi="SimSun"/>
                <w:b w:val="false"/>
                <w:i w:val="false"/>
                <w:color w:val="000000"/>
                <w:sz w:val="21"/>
              </w:rPr>
              <w:t>Environmental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帝国秩序与帝国主义</w:t>
            </w:r>
            <w:r>
              <w:br/>
            </w:r>
            <w:r>
              <w:br/>
            </w:r>
            <w:r>
              <w:rPr>
                <w:rFonts w:ascii="SimSun" w:hAnsi="SimSun"/>
                <w:b w:val="false"/>
                <w:i w:val="false"/>
                <w:color w:val="000000"/>
                <w:sz w:val="21"/>
              </w:rPr>
              <w:t>Imperial Order and Imperialism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政治思想专题：经典与当代</w:t>
            </w:r>
            <w:r>
              <w:br/>
            </w:r>
            <w:r>
              <w:br/>
            </w:r>
            <w:r>
              <w:rPr>
                <w:rFonts w:ascii="SimSun" w:hAnsi="SimSun"/>
                <w:b w:val="false"/>
                <w:i w:val="false"/>
                <w:color w:val="000000"/>
                <w:sz w:val="21"/>
              </w:rPr>
              <w:t>Key Themes in Political Thought: Classics and Contemporary Issues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《资本论》与现代世界</w:t>
            </w:r>
            <w:r>
              <w:br/>
            </w:r>
            <w:r>
              <w:br/>
            </w:r>
            <w:r>
              <w:rPr>
                <w:rFonts w:ascii="SimSun" w:hAnsi="SimSun"/>
                <w:b w:val="false"/>
                <w:i w:val="false"/>
                <w:color w:val="000000"/>
                <w:sz w:val="21"/>
              </w:rPr>
              <w:t>Marx’s Capital and Modern World</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繁荣与贫困：历史视野下的经济发展</w:t>
            </w:r>
            <w:r>
              <w:br/>
            </w:r>
            <w:r>
              <w:br/>
            </w:r>
            <w:r>
              <w:rPr>
                <w:rFonts w:ascii="SimSun" w:hAnsi="SimSun"/>
                <w:b w:val="false"/>
                <w:i w:val="false"/>
                <w:color w:val="000000"/>
                <w:sz w:val="21"/>
              </w:rPr>
              <w:t>Prosperity and Poverty: Economic Development in Historical Perspective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规范伦理学</w:t>
            </w:r>
            <w:r>
              <w:br/>
            </w:r>
            <w:r>
              <w:br/>
            </w:r>
            <w:r>
              <w:rPr>
                <w:rFonts w:ascii="SimSun" w:hAnsi="SimSun"/>
                <w:b w:val="false"/>
                <w:i w:val="false"/>
                <w:color w:val="000000"/>
                <w:sz w:val="21"/>
              </w:rPr>
              <w:t>Normative 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中国心学传统：先秦至近现代</w:t>
            </w:r>
            <w:r>
              <w:br/>
            </w:r>
            <w:r>
              <w:br/>
            </w:r>
            <w:r>
              <w:rPr>
                <w:rFonts w:ascii="SimSun" w:hAnsi="SimSun"/>
                <w:b w:val="false"/>
                <w:i w:val="false"/>
                <w:color w:val="000000"/>
                <w:sz w:val="21"/>
              </w:rPr>
              <w:t>Tradition of Chinese Heart-Mind Philosophy: From Pre-Qin to Modern Time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PHIL30152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佛教专题研究</w:t>
            </w:r>
            <w:r>
              <w:br/>
            </w:r>
            <w:r>
              <w:br/>
            </w:r>
            <w:r>
              <w:rPr>
                <w:rFonts w:ascii="SimSun" w:hAnsi="SimSun"/>
                <w:b w:val="false"/>
                <w:i w:val="false"/>
                <w:color w:val="000000"/>
                <w:sz w:val="21"/>
              </w:rPr>
              <w:t>Studies on Selected Topics in Buddhism</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元伦理学</w:t>
            </w:r>
            <w:r>
              <w:br/>
            </w:r>
            <w:r>
              <w:br/>
            </w:r>
            <w:r>
              <w:rPr>
                <w:rFonts w:ascii="SimSun" w:hAnsi="SimSun"/>
                <w:b w:val="false"/>
                <w:i w:val="false"/>
                <w:color w:val="000000"/>
                <w:sz w:val="21"/>
              </w:rPr>
              <w:t>Metaethics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哲学阅读和写作 II</w:t>
            </w:r>
            <w:r>
              <w:br/>
            </w:r>
            <w:r>
              <w:br/>
            </w:r>
            <w:r>
              <w:rPr>
                <w:rFonts w:ascii="SimSun" w:hAnsi="SimSun"/>
                <w:b w:val="false"/>
                <w:i w:val="false"/>
                <w:color w:val="000000"/>
                <w:sz w:val="21"/>
              </w:rPr>
              <w:t>Reading and Writing Philosophically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基督教哲学专题</w:t>
            </w:r>
            <w:r>
              <w:br/>
            </w:r>
            <w:r>
              <w:br/>
            </w:r>
            <w:r>
              <w:rPr>
                <w:rFonts w:ascii="SimSun" w:hAnsi="SimSun"/>
                <w:b w:val="false"/>
                <w:i w:val="false"/>
                <w:color w:val="000000"/>
                <w:sz w:val="21"/>
              </w:rPr>
              <w:t>Themes in Christian Philosophy</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PHIL20001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专业外语</w:t>
      </w:r>
      <w:r>
        <w:rPr>
          <w:rFonts w:ascii="SimSun" w:hAnsi="SimSun"/>
          <w:b/>
          <w:i w:val="false"/>
          <w:color w:val="000000"/>
          <w:sz w:val="21"/>
        </w:rPr>
        <w:t>（2学分）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哲学专业外语</w:t>
            </w:r>
            <w:r>
              <w:br/>
            </w:r>
            <w:r>
              <w:br/>
            </w:r>
            <w:r>
              <w:rPr>
                <w:rFonts w:ascii="SimSun" w:hAnsi="SimSun"/>
                <w:b w:val="false"/>
                <w:i w:val="false"/>
                <w:color w:val="000000"/>
                <w:sz w:val="21"/>
              </w:rPr>
              <w:t>Foreign Languages for Philosophy Proper</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科逻专业外语</w:t>
            </w:r>
            <w:r>
              <w:br/>
            </w:r>
            <w:r>
              <w:br/>
            </w:r>
            <w:r>
              <w:rPr>
                <w:rFonts w:ascii="SimSun" w:hAnsi="SimSun"/>
                <w:b w:val="false"/>
                <w:i w:val="false"/>
                <w:color w:val="000000"/>
                <w:sz w:val="21"/>
              </w:rPr>
              <w:t>Foreign Languages for the Philosophy of Science and Logic</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宗教学专业外语</w:t>
            </w:r>
            <w:r>
              <w:br/>
            </w:r>
            <w:r>
              <w:br/>
            </w:r>
            <w:r>
              <w:rPr>
                <w:rFonts w:ascii="SimSun" w:hAnsi="SimSun"/>
                <w:b w:val="false"/>
                <w:i w:val="false"/>
                <w:color w:val="000000"/>
                <w:sz w:val="21"/>
              </w:rPr>
              <w:t>Foreign Languages for Religions Studies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国学专业外语</w:t>
            </w:r>
            <w:r>
              <w:br/>
            </w:r>
            <w:r>
              <w:br/>
            </w:r>
            <w:r>
              <w:rPr>
                <w:rFonts w:ascii="SimSun" w:hAnsi="SimSun"/>
                <w:b w:val="false"/>
                <w:i w:val="false"/>
                <w:color w:val="000000"/>
                <w:sz w:val="21"/>
              </w:rPr>
              <w:t>Foreign languages for Sinology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藏语Ⅰ</w:t>
            </w:r>
            <w:r>
              <w:br/>
            </w:r>
            <w:r>
              <w:br/>
            </w:r>
            <w:r>
              <w:rPr>
                <w:rFonts w:ascii="SimSun" w:hAnsi="SimSun"/>
                <w:b w:val="false"/>
                <w:i w:val="false"/>
                <w:color w:val="000000"/>
                <w:sz w:val="21"/>
              </w:rPr>
              <w:t>Tibetan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藏语Ⅱ</w:t>
            </w:r>
            <w:r>
              <w:br/>
            </w:r>
            <w:r>
              <w:br/>
            </w:r>
            <w:r>
              <w:rPr>
                <w:rFonts w:ascii="SimSun" w:hAnsi="SimSun"/>
                <w:b w:val="false"/>
                <w:i w:val="false"/>
                <w:color w:val="000000"/>
                <w:sz w:val="21"/>
              </w:rPr>
              <w:t>Tibetan II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巴利语Ⅰ</w:t>
            </w:r>
            <w:r>
              <w:br/>
            </w:r>
            <w:r>
              <w:br/>
            </w:r>
            <w:r>
              <w:rPr>
                <w:rFonts w:ascii="SimSun" w:hAnsi="SimSun"/>
                <w:b w:val="false"/>
                <w:i w:val="false"/>
                <w:color w:val="000000"/>
                <w:sz w:val="21"/>
              </w:rPr>
              <w:t>Pali 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拉丁语与罗马宗教</w:t>
            </w:r>
            <w:r>
              <w:br/>
            </w:r>
            <w:r>
              <w:br/>
            </w:r>
            <w:r>
              <w:rPr>
                <w:rFonts w:ascii="SimSun" w:hAnsi="SimSun"/>
                <w:b w:val="false"/>
                <w:i w:val="false"/>
                <w:color w:val="000000"/>
                <w:sz w:val="21"/>
              </w:rPr>
              <w:t>Latin and Roman Religion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高阶拉丁语</w:t>
            </w:r>
            <w:r>
              <w:br/>
            </w:r>
            <w:r>
              <w:br/>
            </w:r>
            <w:r>
              <w:rPr>
                <w:rFonts w:ascii="SimSun" w:hAnsi="SimSun"/>
                <w:b w:val="false"/>
                <w:i w:val="false"/>
                <w:color w:val="000000"/>
                <w:sz w:val="21"/>
              </w:rPr>
              <w:t>Advanced Latin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梵语Ⅰ</w:t>
            </w:r>
            <w:r>
              <w:br/>
            </w:r>
            <w:r>
              <w:br/>
            </w:r>
            <w:r>
              <w:rPr>
                <w:rFonts w:ascii="SimSun" w:hAnsi="SimSun"/>
                <w:b w:val="false"/>
                <w:i w:val="false"/>
                <w:color w:val="000000"/>
                <w:sz w:val="21"/>
              </w:rPr>
              <w:t>Sanskrit 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PHIL40019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梵语Ⅱ</w:t>
            </w:r>
            <w:r>
              <w:br/>
            </w:r>
            <w:r>
              <w:br/>
            </w:r>
            <w:r>
              <w:rPr>
                <w:rFonts w:ascii="SimSun" w:hAnsi="SimSun"/>
                <w:b w:val="false"/>
                <w:i w:val="false"/>
                <w:color w:val="000000"/>
                <w:sz w:val="21"/>
              </w:rPr>
              <w:t>Sanskrit Ⅱ</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梵语Ⅲ</w:t>
            </w:r>
            <w:r>
              <w:br/>
            </w:r>
            <w:r>
              <w:br/>
            </w:r>
            <w:r>
              <w:rPr>
                <w:rFonts w:ascii="SimSun" w:hAnsi="SimSun"/>
                <w:b w:val="false"/>
                <w:i w:val="false"/>
                <w:color w:val="000000"/>
                <w:sz w:val="21"/>
              </w:rPr>
              <w:t>Sanskrit Ⅲ</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梵语Ⅳ</w:t>
            </w:r>
            <w:r>
              <w:br/>
            </w:r>
            <w:r>
              <w:br/>
            </w:r>
            <w:r>
              <w:rPr>
                <w:rFonts w:ascii="SimSun" w:hAnsi="SimSun"/>
                <w:b w:val="false"/>
                <w:i w:val="false"/>
                <w:color w:val="000000"/>
                <w:sz w:val="21"/>
              </w:rPr>
              <w:t>Sanskrit Ⅳ</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PHIL40022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专业进阶多元发展</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荣誉项目课程设置和修读要求请见哲学学院本科“荣誉项目”实施方案。下载地址：https://jwc.fudan.edu.cn/（复旦大学教务处）-专业培养-常用文档。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学程，可选择专业学程或跨学科学程。学分不足部分可在全校所有本科生课程中任意选修。学程课程详见教务处学程项目网页，下载地址：https://jwc.fudan.edu.cn/（复旦大学教务处）-专业培养-常用文档。完成学程修读要求的学生可获得相应的学程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学程，以及1个非本专业独立开设的学程。修读学分不足部分可在全校所有本科生课程中任意选修。创新创业学程课程详见教务处学程项目网页，下载地址：https://jwc.fudan.edu.cn/（复旦大学教务处）-专业培养-常用文档。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I”模块20学分和1个辅修学士学位项目，辅修学士学位应与主修学士学位归属不同的本科专业大类。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1.按照“基础型—综合型—创新型”渐次推进相互衔接的哲学教学体系，在解决复杂问题的过程中培养学生的哲学素养，激发批判性思维和科研潜力。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2.秉持“以学为中心、以学生学习成效与学术综合能力提升为导向”的理念，培养具有优秀哲学素养、宽阔学术视野、出色思维能力的拔尖学术人才。
       </w:t>
      </w:r>
      <w:r>
        <w:br/>
      </w:r>
      <w:r>
        <w:rPr>
          <w:rFonts w:ascii="SimSun" w:hAnsi="SimSun"/>
          <w:b w:val="false"/>
          <w:i w:val="false"/>
          <w:color w:val="000000"/>
          <w:sz w:val="21"/>
        </w:rPr>
        <w:t xml:space="preserve">
       </w:t>
      </w:r>
      <w:r>
        <w:br/>
      </w:r>
      <w:r>
        <w:rPr>
          <w:rFonts w:ascii="SimSun" w:hAnsi="SimSun"/>
          <w:b w:val="false"/>
          <w:i w:val="false"/>
          <w:color w:val="000000"/>
          <w:sz w:val="21"/>
        </w:rPr>
        <w:t xml:space="preserve">3.围绕“复芏计划”展开多种学术项目，支撑具有多学科、全球化视野的“干细胞式”拔尖创新人才的培养。例如结合曦源、望道等学术项目的公开征集课题以及个人学术兴趣申请相关学术项目，获取相关导师的指导，帮助学生入门学术研究。
       </w:t>
      </w:r>
      <w:r>
        <w:br/>
      </w:r>
      <w:r>
        <w:rPr>
          <w:rFonts w:ascii="SimSun" w:hAnsi="SimSun"/>
          <w:b w:val="false"/>
          <w:i w:val="false"/>
          <w:color w:val="000000"/>
          <w:sz w:val="21"/>
        </w:rPr>
        <w:t xml:space="preserve">
       </w:t>
      </w:r>
      <w:r>
        <w:br/>
      </w:r>
      <w:r>
        <w:rPr>
          <w:rFonts w:ascii="SimSun" w:hAnsi="SimSun"/>
          <w:b w:val="false"/>
          <w:i w:val="false"/>
          <w:color w:val="000000"/>
          <w:sz w:val="21"/>
        </w:rPr>
        <w:t xml:space="preserve">4.提供大量读书班和论文研讨会。导师们举办各种主题的读书班，带领学生们深入研读哲学经典著作，帮助掌握阅读哲学原典的方法；学院建立机制保障，学生自发申请各类论文研讨会，互相点评。
       </w:t>
      </w:r>
      <w:r>
        <w:br/>
      </w:r>
      <w:r>
        <w:rPr>
          <w:rFonts w:ascii="SimSun" w:hAnsi="SimSun"/>
          <w:b w:val="false"/>
          <w:i w:val="false"/>
          <w:color w:val="000000"/>
          <w:sz w:val="21"/>
        </w:rPr>
        <w:t xml:space="preserve">
       </w:t>
      </w:r>
      <w:r>
        <w:br/>
      </w:r>
      <w:r>
        <w:rPr>
          <w:rFonts w:ascii="SimSun" w:hAnsi="SimSun"/>
          <w:b w:val="false"/>
          <w:i w:val="false"/>
          <w:color w:val="000000"/>
          <w:sz w:val="21"/>
        </w:rPr>
        <w:t xml:space="preserve">5.多渠道支持学生参加国内国际高水平论坛、会议等学术交流活动。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PHIL30003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PHIL40008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