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2025财政学+人工智能双学士学位项目本科培养方案（普通本科生）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经济学科秉承“经世济民、追求卓越”的理念，以先进的育人理念、雄厚的师资力量、和谐的管理氛围、优质的学术成果等优势被公认为国内最强的经济学科之一。财政学科建设它以经济学理论为基础，围绕公共经济理论发展以及国家财政、税收等宏观经济政策需求，与经济学、政治学、社会学、法学等多学科相互交叉渗透，是理论与实践并重，宏观与微观兼具的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拔尖学生培养计划2.0经济学拔尖学生培养基地，按照“宽口径、厚基础、重能力、求创新”的人才培养要求，以“2+X+Y”（2是通识和专业教育，X是多元发展路径，Y为融合创新能力）为途径，培养德智体美劳全面发展的财政学领军人才。学生应熟练掌握智能税务系统、数字化财务管理、财务决策支持等关键技术与工具，将财政学基础理论与智能技术融合，具有财政、税务、社会保障等理论知识和业务能力，并能在财税管理、公共政策咨询、企业税务风险管理、宏观分析与行业研究、国际税收管理、企业战略管理、投资顾问、数据分析、公司财务决策分析等领域从事相关工作。</w:t>
      </w:r>
    </w:p>
    <w:p>
      <w:pPr>
        <w:spacing w:after="0"/>
        <w:ind w:left="0"/>
        <w:jc w:val="left"/>
      </w:pPr>
      <w:r>
        <w:rPr>
          <w:rFonts w:ascii="SimSun" w:hAnsi="SimSun"/>
          <w:b/>
          <w:i w:val="false"/>
          <w:color w:val="000000"/>
          <w:sz w:val="24"/>
        </w:rPr>
        <w:t xml:space="preserve">
       三.    基本要求
      </w:t>
      </w:r>
    </w:p>
    <w:p>
      <w:pPr>
        <w:pBdr>
          <w:left w:space="30"/>
        </w:pBdr>
        <w:spacing w:after="0"/>
        <w:ind w:left="0"/>
        <w:jc w:val="left"/>
      </w:pPr>
      <w:r>
        <w:drawing>
          <wp:inline distT="0" distB="0" distL="0" distR="0">
            <wp:extent cx="40978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97867" cy="1439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财政学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174</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25"/>
        <w:gridCol w:w="2025"/>
        <w:gridCol w:w="2025"/>
        <w:gridCol w:w="2025"/>
        <w:gridCol w:w="2025"/>
        <w:gridCol w:w="2025"/>
        <w:gridCol w:w="2026"/>
        <w:gridCol w:w="2026"/>
        <w:gridCol w:w="2026"/>
        <w:gridCol w:w="2026"/>
        <w:gridCol w:w="202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专业进阶路径：174学分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174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106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本科荣誉项目：174学分</w:t>
            </w:r>
          </w:p>
        </w:tc>
      </w:tr>
      <w:tr>
        <w:trPr>
          <w:trHeight w:val="361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81"/>
        <w:gridCol w:w="2085"/>
        <w:gridCol w:w="2086"/>
        <w:gridCol w:w="2086"/>
        <w:gridCol w:w="2086"/>
        <w:gridCol w:w="2086"/>
        <w:gridCol w:w="2086"/>
        <w:gridCol w:w="2086"/>
        <w:gridCol w:w="2086"/>
        <w:gridCol w:w="2086"/>
        <w:gridCol w:w="20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3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财政学+AI学士双学位项目，如达到财政学-人工智能双学士学位要求者授予经济学-工学双学士学位。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474"/>
        <w:gridCol w:w="2474"/>
        <w:gridCol w:w="2474"/>
        <w:gridCol w:w="2474"/>
        <w:gridCol w:w="2474"/>
        <w:gridCol w:w="2474"/>
        <w:gridCol w:w="2479"/>
        <w:gridCol w:w="2479"/>
        <w:gridCol w:w="2479"/>
        <w:gridCol w:w="2479"/>
        <w:gridCol w:w="248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以经济学基础理论和数理基础和方法课程为基础建立了本研融通的专业核心课程体系，以学科领域为横、课程内容梯度为纵建立了难度逐级提升的本研融通的专业进阶课程体系。 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27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财政学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280"/>
        <w:gridCol w:w="935"/>
        <w:gridCol w:w="935"/>
        <w:gridCol w:w="935"/>
        <w:gridCol w:w="935"/>
        <w:gridCol w:w="935"/>
        <w:gridCol w:w="935"/>
        <w:gridCol w:w="936"/>
        <w:gridCol w:w="936"/>
        <w:gridCol w:w="936"/>
        <w:gridCol w:w="936"/>
      </w:tblGrid>
      <w:tr>
        <w:trPr>
          <w:trHeight w:val="45" w:hRule="atLeast"/>
        </w:trPr>
        <w:tc>
          <w:tcPr>
            <w:tcW w:w="42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（一）通识教育课程：模块“2”（39学分）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26学分，含思想政治理论课19学分，七大模块课程6学分（七大模块6学分中每模块最多修读1门课，回避第四模块“社会研究与当代中国”，第五模块“科学探索与技术创新模块课程”，即修读第四模块课程和第五模块课程将不计入七大模块学分中），课程设置详见核心课程七大模块。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核心课程七大模块6学分中每模块最多修读1门课，回避第四模块“社会研究与当代中国”和第五模块“科学探索与技术创新模块”课程，即修读第四模块和第五模块课程将不计入七大模块学分中。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(二) 专业培养课程( 106学分)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专业培养课程包括大类基础课程和专业核心教育课程。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 大类基础课程（29学分）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要求修读财政学类基础课程29学分。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专业核心教育课程（77学分）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要求修读77学分（部分课程学分可用荣誉课程学分替换）。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公共支出分析</w:t>
            </w:r>
            <w:r>
              <w:br/>
            </w:r>
            <w:r>
              <w:br/>
            </w:r>
            <w:r>
              <w:rPr>
                <w:rFonts w:ascii="SimSun" w:hAnsi="SimSun"/>
                <w:b w:val="false"/>
                <w:i w:val="false"/>
                <w:color w:val="000000"/>
                <w:sz w:val="21"/>
              </w:rPr>
              <w:t>Public Expenditure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财政学经典文献选读与写作</w:t>
            </w:r>
            <w:r>
              <w:br/>
            </w:r>
            <w:r>
              <w:br/>
            </w:r>
            <w:r>
              <w:rPr>
                <w:rFonts w:ascii="SimSun" w:hAnsi="SimSun"/>
                <w:b w:val="false"/>
                <w:i w:val="false"/>
                <w:color w:val="000000"/>
                <w:sz w:val="21"/>
              </w:rPr>
              <w:t>Classic Literature Reading and Academic Writing of  Public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国家预算</w:t>
            </w:r>
            <w:r>
              <w:br/>
            </w:r>
            <w:r>
              <w:br/>
            </w:r>
            <w:r>
              <w:rPr>
                <w:rFonts w:ascii="SimSun" w:hAnsi="SimSun"/>
                <w:b w:val="false"/>
                <w:i w:val="false"/>
                <w:color w:val="000000"/>
                <w:sz w:val="21"/>
              </w:rPr>
              <w:t>Government Budget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B组实务模块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B组方法模块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习近平经济思想概论</w:t>
            </w:r>
            <w:r>
              <w:br/>
            </w:r>
            <w:r>
              <w:br/>
            </w:r>
            <w:r>
              <w:rPr>
                <w:rFonts w:ascii="SimSun" w:hAnsi="SimSun"/>
                <w:b w:val="false"/>
                <w:i w:val="false"/>
                <w:color w:val="000000"/>
                <w:sz w:val="21"/>
              </w:rPr>
              <w:t>Introduction to Xi Jinping Thought on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