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2025级数学与应用数学-数学硕士本硕融通培养方案（数学英才班）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分流。博士资格考试未通过。</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数学与应用数学专业本科培养方案（英才班适用）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9962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96267"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1.专业进阶路径：158学分</w:t>
      </w:r>
    </w:p>
    <w:p>
      <w:pPr>
        <w:spacing w:after="0"/>
        <w:ind w:left="0"/>
        <w:jc w:val="left"/>
      </w:pPr>
      <w:r>
        <w:rPr>
          <w:rFonts w:ascii="SimSun" w:hAnsi="SimSun"/>
          <w:b w:val="false"/>
          <w:i w:val="false"/>
          <w:color w:val="000000"/>
          <w:sz w:val="21"/>
        </w:rPr>
        <w:t>本路径学生本博期间必须修满教学计划规定的158学分，包括通识教育课程45学分、专业培养课程69学分、专业进阶I修读12学分（研究生课程不少于6学分）、专业进阶II修读9学分（其中研究生学位课程修读不少于6学分，研究生选修课不少于3学分）、融合创新能力培养模块16学分、任意选修6学分。</w:t>
      </w:r>
      <w:r>
        <w:br/>
      </w:r>
      <w:r>
        <w:br/>
      </w:r>
      <w:r>
        <w:rPr>
          <w:rFonts w:ascii="SimSun" w:hAnsi="SimSun"/>
          <w:b w:val="false"/>
          <w:i w:val="false"/>
          <w:color w:val="000000"/>
          <w:sz w:val="21"/>
        </w:rPr>
        <w:t>其中，本科学段需要完成136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修读6学分、融合创新能力培养12学分、任意选修6学分。</w:t>
      </w:r>
    </w:p>
    <w:p>
      <w:pPr>
        <w:spacing w:after="0"/>
        <w:ind w:left="0"/>
        <w:jc w:val="left"/>
      </w:pPr>
      <w:r>
        <w:rPr>
          <w:rFonts w:ascii="SimSun" w:hAnsi="SimSun"/>
          <w:b w:val="false"/>
          <w:i w:val="false"/>
          <w:color w:val="000000"/>
          <w:sz w:val="21"/>
        </w:rPr>
        <w:t>2.荣誉项目：158学分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3.跨学科发展路径：167学分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本科学段主动退出和转段考核不合格退出本博融通计划的学生，需按照数学与应用数学专业本科培养方案（英才班适用）修读课程，如达到学士学位要求者授予理学学士学位。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1.达到硕士学位要求者授予理学硕士学位。</w:t>
      </w:r>
    </w:p>
    <w:p>
      <w:pPr>
        <w:spacing w:after="0"/>
        <w:ind w:left="0"/>
        <w:jc w:val="left"/>
      </w:pPr>
      <w:r>
        <w:rPr>
          <w:rFonts w:ascii="SimSun" w:hAnsi="SimSun"/>
          <w:b w:val="false"/>
          <w:i w:val="false"/>
          <w:color w:val="000000"/>
          <w:sz w:val="21"/>
        </w:rPr>
        <w:t>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2.研究生学段主动退出和博士生资格考核不合格退出本博融通计划的学生，需按照本培养方案修读课程，如达到硕士学位要求者授予理学硕士学位。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以17门高难度、大学分的荣誉课程为基础建立了本研融通的专业核心课程体系，以学科领域为横、课程内容梯度为纵建立了难度逐级提升的本研融通的专业进阶课程体系。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学科创新竞赛。</w:t>
      </w:r>
    </w:p>
    <w:p>
      <w:pPr>
        <w:pBdr>
          <w:left w:space="30"/>
        </w:pBdr>
        <w:spacing w:after="0"/>
        <w:ind w:left="0"/>
        <w:jc w:val="left"/>
      </w:pPr>
    </w:p>
    <w:p>
      <w:pPr>
        <w:spacing w:after="0"/>
        <w:ind w:left="0"/>
        <w:jc w:val="left"/>
      </w:pPr>
      <w:r>
        <w:drawing>
          <wp:inline distT="0" distB="0" distL="0" distR="0">
            <wp:extent cx="3843867"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3867" cy="13546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（17学分,本科要求17学分）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专业培养课程包括学科基础课程和专业核心教育课程。至少修读6门荣誉课程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要求修读自然科学类基础课程12学分。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（57学分,本科要求57学分）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（36学分,本科要求36学分）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经典数学思想I</w:t>
            </w:r>
            <w:r>
              <w:br/>
            </w:r>
            <w:r>
              <w:br/>
            </w:r>
            <w:r>
              <w:rPr>
                <w:rFonts w:ascii="SimSun" w:hAnsi="SimSun"/>
                <w:b w:val="false"/>
                <w:i w:val="false"/>
                <w:color w:val="000000"/>
                <w:sz w:val="21"/>
              </w:rPr>
              <w:t>Classical Mathematical Thoughts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经典数学思想Ⅱ</w:t>
            </w:r>
            <w:r>
              <w:br/>
            </w:r>
            <w:r>
              <w:br/>
            </w:r>
            <w:r>
              <w:rPr>
                <w:rFonts w:ascii="SimSun" w:hAnsi="SimSun"/>
                <w:b w:val="false"/>
                <w:i w:val="false"/>
                <w:color w:val="000000"/>
                <w:sz w:val="21"/>
              </w:rPr>
              <w:t>Classical Mathematical Thoughts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几何拓扑选讲</w:t>
            </w:r>
            <w:r>
              <w:br/>
            </w:r>
            <w:r>
              <w:br/>
            </w:r>
            <w:r>
              <w:rPr>
                <w:rFonts w:ascii="SimSun" w:hAnsi="SimSun"/>
                <w:b w:val="false"/>
                <w:i w:val="false"/>
                <w:color w:val="000000"/>
                <w:sz w:val="21"/>
              </w:rPr>
              <w:t>Elements of Geometry and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（21学分,本科要求21学分）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限定必修课程分为6大系列共24门课，需在以下课程中至少选7门课程，覆盖至少3个系列，超出学分可算作专业进阶学分。
      </w:t>
      </w:r>
    </w:p>
    <w:tbl>
      <w:tblPr>
        <w:tblW w:w="0" w:type="auto"/>
        <w:tblCellSpacing w:w="0" w:type="auto"/>
        <w:tblBorders>
          <w:top w:val="none"/>
          <w:left w:val="none"/>
          <w:bottom w:val="none"/>
          <w:right w:val="none"/>
          <w:insideH w:val="none"/>
          <w:insideV w:val="none"/>
        </w:tblBorders>
      </w:tblPr>
      <w:tblGrid>
        <w:gridCol w:w="1945"/>
        <w:gridCol w:w="2687"/>
        <w:gridCol w:w="658"/>
        <w:gridCol w:w="672"/>
        <w:gridCol w:w="911"/>
        <w:gridCol w:w="1725"/>
        <w:gridCol w:w="675"/>
        <w:gridCol w:w="658"/>
        <w:gridCol w:w="658"/>
        <w:gridCol w:w="830"/>
        <w:gridCol w:w="915"/>
        <w:gridCol w:w="1300"/>
      </w:tblGrid>
      <w:tr>
        <w:trPr>
          <w:trHeight w:val="45" w:hRule="atLeast"/>
        </w:trPr>
        <w:tc>
          <w:tcPr>
            <w:tcW w:w="1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Fourier分析</w:t>
            </w:r>
            <w:r>
              <w:br/>
            </w:r>
            <w:r>
              <w:br/>
            </w:r>
            <w:r>
              <w:rPr>
                <w:rFonts w:ascii="SimSun" w:hAnsi="SimSun"/>
                <w:b w:val="false"/>
                <w:i w:val="false"/>
                <w:color w:val="000000"/>
                <w:sz w:val="21"/>
              </w:rPr>
              <w:t>Fourier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几何与拓扑系列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w:t>
            </w:r>
            <w:r>
              <w:br/>
            </w:r>
            <w:r>
              <w:br/>
            </w:r>
            <w:r>
              <w:rPr>
                <w:rFonts w:ascii="SimSun" w:hAnsi="SimSun"/>
                <w:b w:val="false"/>
                <w:i w:val="false"/>
                <w:color w:val="000000"/>
                <w:sz w:val="21"/>
              </w:rPr>
              <w:t>Differential Manifolds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代数与数论系列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代数数论初步</w:t>
            </w:r>
            <w:r>
              <w:br/>
            </w:r>
            <w:r>
              <w:br/>
            </w:r>
            <w:r>
              <w:rPr>
                <w:rFonts w:ascii="SimSun" w:hAnsi="SimSun"/>
                <w:b w:val="false"/>
                <w:i w:val="false"/>
                <w:color w:val="000000"/>
                <w:sz w:val="21"/>
              </w:rPr>
              <w:t>Elementary Introduction to Algebraic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应用数学系列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概率与统计系列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经典物理选讲</w:t>
            </w:r>
            <w:r>
              <w:br/>
            </w:r>
            <w:r>
              <w:br/>
            </w:r>
            <w:r>
              <w:rPr>
                <w:rFonts w:ascii="SimSun" w:hAnsi="SimSun"/>
                <w:b w:val="false"/>
                <w:i w:val="false"/>
                <w:color w:val="000000"/>
                <w:sz w:val="21"/>
              </w:rPr>
              <w:t>Selected Topics in Classical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数学广义相对论</w:t>
            </w:r>
            <w:r>
              <w:br/>
            </w:r>
            <w:r>
              <w:br/>
            </w:r>
            <w:r>
              <w:rPr>
                <w:rFonts w:ascii="SimSun" w:hAnsi="SimSun"/>
                <w:b w:val="false"/>
                <w:i w:val="false"/>
                <w:color w:val="000000"/>
                <w:sz w:val="21"/>
              </w:rPr>
              <w:t>Mathematical General Relativity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注：高等代数、抽象代数、常微分方程、复变函数、微分流形课程必须修读为数学英才班学生单独开设课程。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至少修读6门荣誉课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复变函数(H)</w:t>
            </w:r>
            <w:r>
              <w:br/>
            </w:r>
            <w:r>
              <w:br/>
            </w:r>
            <w:r>
              <w:rPr>
                <w:rFonts w:ascii="SimSun" w:hAnsi="SimSun"/>
                <w:b w:val="false"/>
                <w:i w:val="false"/>
                <w:color w:val="000000"/>
                <w:sz w:val="21"/>
              </w:rPr>
              <w:t>Function Theory of One Complex Variable(H)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泛函分析(H)</w:t>
            </w:r>
            <w:r>
              <w:br/>
            </w:r>
            <w:r>
              <w:br/>
            </w:r>
            <w:r>
              <w:rPr>
                <w:rFonts w:ascii="SimSun" w:hAnsi="SimSun"/>
                <w:b w:val="false"/>
                <w:i w:val="false"/>
                <w:color w:val="000000"/>
                <w:sz w:val="21"/>
              </w:rPr>
              <w:t>Functional Analysis(H)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多复变函数论(H)</w:t>
            </w:r>
            <w:r>
              <w:br/>
            </w:r>
            <w:r>
              <w:br/>
            </w:r>
            <w:r>
              <w:rPr>
                <w:rFonts w:ascii="SimSun" w:hAnsi="SimSun"/>
                <w:b w:val="false"/>
                <w:i w:val="false"/>
                <w:color w:val="000000"/>
                <w:sz w:val="21"/>
              </w:rPr>
              <w:t>Several Complex Variables(H)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微分流形(H)</w:t>
            </w:r>
            <w:r>
              <w:br/>
            </w:r>
            <w:r>
              <w:br/>
            </w:r>
            <w:r>
              <w:rPr>
                <w:rFonts w:ascii="SimSun" w:hAnsi="SimSun"/>
                <w:b w:val="false"/>
                <w:i w:val="false"/>
                <w:color w:val="000000"/>
                <w:sz w:val="21"/>
              </w:rPr>
              <w:t>An introduction to Differential manifolds(H)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代数拓扑(H)</w:t>
            </w:r>
            <w:r>
              <w:br/>
            </w:r>
            <w:r>
              <w:br/>
            </w:r>
            <w:r>
              <w:rPr>
                <w:rFonts w:ascii="SimSun" w:hAnsi="SimSun"/>
                <w:b w:val="false"/>
                <w:i w:val="false"/>
                <w:color w:val="000000"/>
                <w:sz w:val="21"/>
              </w:rPr>
              <w:t>Algebraic Topology(H)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数理方程（H）</w:t>
            </w:r>
            <w:r>
              <w:br/>
            </w:r>
            <w:r>
              <w:br/>
            </w:r>
            <w:r>
              <w:rPr>
                <w:rFonts w:ascii="SimSun" w:hAnsi="SimSun"/>
                <w:b w:val="false"/>
                <w:i w:val="false"/>
                <w:color w:val="000000"/>
                <w:sz w:val="21"/>
              </w:rPr>
              <w:t>Equations of Mathematical Physics(H)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概率论(H)</w:t>
            </w:r>
            <w:r>
              <w:br/>
            </w:r>
            <w:r>
              <w:br/>
            </w:r>
            <w:r>
              <w:rPr>
                <w:rFonts w:ascii="SimSun" w:hAnsi="SimSun"/>
                <w:b w:val="false"/>
                <w:i w:val="false"/>
                <w:color w:val="000000"/>
                <w:sz w:val="21"/>
              </w:rPr>
              <w:t>Probability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实变函数(H)</w:t>
            </w:r>
            <w:r>
              <w:br/>
            </w:r>
            <w:r>
              <w:br/>
            </w:r>
            <w:r>
              <w:rPr>
                <w:rFonts w:ascii="SimSun" w:hAnsi="SimSun"/>
                <w:b w:val="false"/>
                <w:i w:val="false"/>
                <w:color w:val="000000"/>
                <w:sz w:val="21"/>
              </w:rPr>
              <w:t>Functions of Real Variable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在本专业专业进阶模块I修读12学分（研究生学位课程不少于6学分）、专业进阶模块II修读9学分（研究生学位课程不少于6学分，研究生选修课不少于3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其中研究生学位课程修读不少于6学分。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其中研究生学位课程修读不少于6学分，研究生选修课不少于3学分。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修满36学分。要求在本专业专业进阶模块I修读12学分（研究生学位课程不少于6学分）、专业进阶模块II修读9学分（研究生学位课程不少于6学分，研究生选修课不少于3学分）、1个非本专业独立开设的学程15学分。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考核方式：以答辩形式进行，导师牵头组织由至少三位专家（可含导师本人）组成的专家组或研究生指导小组，听取研究生在课程学习、文献查阅、研究计划等方面的汇报。 考核结果及评定标准。结果分为合格（P）、不合格（NP）。出现一下情况之一的，视为不合格：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时间节点：第三学期完成。</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中期考核的内容：（1）应修课程及绩点、必修环节及学分的完成情况；（2）自学位论文开题以来在相关科研、论文撰写方面的进展情况；（3）思想政治表现及日常操行情况。 中期考核的方式 （1）研究生对本人思想政治表现和学业完成情况进行总结； （2）检查研究生的课程学习情况，并对其思想品德和学术规范遵守情况进行考评； （3）组织汇报答辩，由至少3名研究生导师组成（可含本人导师）组成答辩专家组，听取研究生个人汇报，重点考察其自学位论文开题以来在相关科研、论文撰写方面的进展情况，并就其学位论文的后续工作提出意见、建议和要求。 （4）中期考核由专人负责记录。  中期考核的评定等级：分为合格、不合格。出现以下情况之一的，记为不合格： （1）学位课程成绩未达到毕业要求； （2）开题后学位论文工作无明显进展； （3）思想品德、科学道德和学术品行不符合学校培养要求。 因第一项导致中期考核不合格的研究生，按照《复旦大学研究生学籍管理实施细则》第二十九条的规定，予以退学处理。因第二项、第三项导致中期考核不合格的研究生，可在至少间隔3个月后申请一次中期考核补考；补考后仍不合格的，按照《复旦大学研究生学籍管理实施细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