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2025临床医学（八年制）专业本博融通培养方案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着眼于未来医学发展，服务建设健康中国和创新型国家的战略需求，落实立德树人根本任务，培养德智体美劳全面发展，具有国家意识、人文情怀、科学精神、专业素养、国际视野，科学基础宽厚、专业技能扎实、创新能力强、发展潜力大、综合素质高的医师科学家，成为能解决健康领域重大科学问题、应对重大疾病防控挑战的未来医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五年级下学期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凡有以下情况之一者，应予以分流：
1、品德评定为差，或受到过学校记过及以上处分；
2、平均绩点未达到2.8（以有效成绩为准计算平均绩点）；
3、未获得规定的必修课和选修课学分；
4、本人自愿要求分流。</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临床医学（八年制）专业培养方案-本科学段</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240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139.5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56.5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66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660400"/>
                    </a:xfrm>
                    <a:prstGeom prst="rect">
                      <a:avLst/>
                    </a:prstGeom>
                  </pic:spPr>
                </pic:pic>
              </a:graphicData>
            </a:graphic>
          </wp:inline>
        </w:drawing>
      </w:r>
    </w:p>
    <w:p>
      <w:pPr>
        <w:spacing w:after="0"/>
        <w:ind w:left="0"/>
        <w:jc w:val="left"/>
      </w:pPr>
      <w:r>
        <w:rPr>
          <w:rFonts w:ascii="SimSun" w:hAnsi="SimSun"/>
          <w:b w:val="false"/>
          <w:i w:val="false"/>
          <w:color w:val="000000"/>
          <w:sz w:val="21"/>
        </w:rPr>
        <w:t>本专业学生前阶段培养须修满教学计划规定的240学分，方能获得本科毕业证书，达到学位授予要求者授予医学学士学位。所修学分中，实践学分不低于61学分；美育学分不少于2学分，至少在“美学和艺术史论类”或“艺术鉴赏和评论类”课程中修读1学分，至少参与一项艺术实践活动；劳动教育不少于32学时，并满足劳动周教育要求；通识教育课程不少于44学分；大类基础课程不少于22学分；专业教育课程不少于117.5学分；融合创新能力模块不少于56.5学分。</w:t>
      </w:r>
      <w:r>
        <w:br/>
      </w:r>
      <w:r>
        <w:br/>
      </w:r>
      <w:r>
        <w:rPr>
          <w:rFonts w:ascii="SimSun" w:hAnsi="SimSun"/>
          <w:b w:val="false"/>
          <w:i w:val="false"/>
          <w:color w:val="000000"/>
          <w:sz w:val="21"/>
        </w:rPr>
        <w:t>留学生和港澳台侨学生的通识教育课程修读要求，以及留学生的水平测试要求，参见相应修读说明。</w:t>
      </w:r>
      <w:r>
        <w:br/>
      </w:r>
      <w:r>
        <w:br/>
      </w:r>
      <w:r>
        <w:rPr>
          <w:rFonts w:ascii="SimSun" w:hAnsi="SimSun"/>
          <w:b w:val="false"/>
          <w:i w:val="false"/>
          <w:color w:val="000000"/>
          <w:sz w:val="21"/>
        </w:rPr>
        <w:t>前阶段学习达到后阶段准入标准者，可进入后阶段学习。在后阶段学习中，完成临床轮转与学位论文，通过临床能力考核和论文答辩者，方能获得研究生毕业证书，达到学位授予要求者授予临床医学博士专业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5年级结束时，如达到学士学位要求者授予医学学学士学位。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本科学段主动退出和转段考核不合格退出八年制的学生，需按照临床医学（八年制）专业培养方案-本科学段修读课程，如达到学士学位要求者授予医学学士学位。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原则上参照临床医学博士专业学位授予标准相应要求。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3335867"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35867" cy="23029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科创训练营、复芏计划等项目引导学生在“做中学、学中悟、悟中创”。1年级通过走近生物医学、走近临床课程帮助学生了解前沿知识，激发兴趣。2-3年级通过4学期的临床科研入门培养学生的科研思维，学习科研基本技能。4-5年级进行科创实践训练，完成各类科创项目，激发创新志趣。后阶段在博士生导师指导下，原则上参照临床医学专业学位博士研究生要求，着重培养学生的临床实践和科研能力，完成博士学位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（139.5学分）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（22学分,本科要求22学分）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高等数学CII（上）</w:t>
            </w:r>
            <w:r>
              <w:br/>
            </w:r>
            <w:r>
              <w:br/>
            </w:r>
            <w:r>
              <w:rPr>
                <w:rFonts w:ascii="SimSun" w:hAnsi="SimSun"/>
                <w:b w:val="false"/>
                <w:i w:val="false"/>
                <w:color w:val="000000"/>
                <w:sz w:val="21"/>
              </w:rPr>
              <w:t>Advanced Mathematics C II (Fall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高等数学CII（下）</w:t>
            </w:r>
            <w:r>
              <w:br/>
            </w:r>
            <w:r>
              <w:br/>
            </w:r>
            <w:r>
              <w:rPr>
                <w:rFonts w:ascii="SimSun" w:hAnsi="SimSun"/>
                <w:b w:val="false"/>
                <w:i w:val="false"/>
                <w:color w:val="000000"/>
                <w:sz w:val="21"/>
              </w:rPr>
              <w:t>Advanced Mathematics C II (Spring Semester)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与高等数学C I二选一</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（117.5学分,本科要求117.5学分）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（107.5学分,本科要求107.5学分）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医学形态学基础</w:t>
            </w:r>
            <w:r>
              <w:br/>
            </w:r>
            <w:r>
              <w:br/>
            </w:r>
            <w:r>
              <w:rPr>
                <w:rFonts w:ascii="SimSun" w:hAnsi="SimSun"/>
                <w:b w:val="false"/>
                <w:i w:val="false"/>
                <w:color w:val="000000"/>
                <w:sz w:val="21"/>
              </w:rPr>
              <w:t>Basic Medical Morphology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基础医学概论</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医学免疫学与病原生物（上）</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医学免疫学与病原生物（下）</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Circulatory and Blood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医学英语</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儿科学A</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临床医学专业水平测试</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临床阶段理论综合考核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临床阶段实践综合考核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影像诊断学B</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皮肤病学A</w:t>
            </w:r>
            <w:r>
              <w:br/>
            </w:r>
            <w:r>
              <w:br/>
            </w:r>
            <w:r>
              <w:rPr>
                <w:rFonts w:ascii="SimSun" w:hAnsi="SimSun"/>
                <w:b w:val="false"/>
                <w:i w:val="false"/>
                <w:color w:val="000000"/>
                <w:sz w:val="21"/>
              </w:rPr>
              <w:t>Dermatology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w:t>
            </w:r>
            <w:r>
              <w:br/>
            </w:r>
            <w:r>
              <w:br/>
            </w:r>
            <w:r>
              <w:rPr>
                <w:rFonts w:ascii="SimSun" w:hAnsi="SimSun"/>
                <w:b w:val="false"/>
                <w:i w:val="false"/>
                <w:color w:val="000000"/>
                <w:sz w:val="21"/>
              </w:rPr>
              <w:t>rehabilitation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专业选修课程</w:t>
      </w:r>
      <w:r>
        <w:rPr>
          <w:rFonts w:ascii="SimSun" w:hAnsi="SimSun"/>
          <w:b/>
          <w:i w:val="false"/>
          <w:color w:val="000000"/>
          <w:sz w:val="21"/>
        </w:rPr>
        <w:t>（10学分,本科要求10学分）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a、b模块共修满10学分，其中限选课程修读至少5学分。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限定选修课</w:t>
      </w:r>
      <w:r>
        <w:rPr>
          <w:rFonts w:ascii="SimSun" w:hAnsi="SimSun"/>
          <w:b/>
          <w:i w:val="false"/>
          <w:color w:val="000000"/>
          <w:sz w:val="21"/>
        </w:rPr>
        <w:t>（5学分,本科要求5学分）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本模块需修读至少5学分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Chinese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医学神经生物学</w:t>
            </w:r>
            <w:r>
              <w:br/>
            </w:r>
            <w:r>
              <w:br/>
            </w:r>
            <w:r>
              <w:rPr>
                <w:rFonts w:ascii="SimSun" w:hAnsi="SimSun"/>
                <w:b w:val="false"/>
                <w:i w:val="false"/>
                <w:color w:val="000000"/>
                <w:sz w:val="21"/>
              </w:rPr>
              <w:t>Medical Neurobiology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本模块需修读0-5学分
      </w:t>
      </w:r>
    </w:p>
    <w:tbl>
      <w:tblPr>
        <w:tblW w:w="0" w:type="auto"/>
        <w:tblCellSpacing w:w="0" w:type="auto"/>
        <w:tblBorders>
          <w:top w:val="none"/>
          <w:left w:val="none"/>
          <w:bottom w:val="none"/>
          <w:right w:val="none"/>
          <w:insideH w:val="none"/>
          <w:insideV w:val="none"/>
        </w:tblBorders>
      </w:tblPr>
      <w:tblGrid>
        <w:gridCol w:w="3251"/>
        <w:gridCol w:w="802"/>
        <w:gridCol w:w="802"/>
        <w:gridCol w:w="1123"/>
        <w:gridCol w:w="1718"/>
        <w:gridCol w:w="802"/>
        <w:gridCol w:w="802"/>
        <w:gridCol w:w="802"/>
        <w:gridCol w:w="802"/>
        <w:gridCol w:w="1124"/>
        <w:gridCol w:w="1606"/>
      </w:tblGrid>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针灸与推拿学</w:t>
            </w:r>
            <w:r>
              <w:br/>
            </w:r>
            <w:r>
              <w:br/>
            </w:r>
            <w:r>
              <w:rPr>
                <w:rFonts w:ascii="SimSun" w:hAnsi="SimSun"/>
                <w:b w:val="false"/>
                <w:i w:val="false"/>
                <w:color w:val="000000"/>
                <w:sz w:val="21"/>
              </w:rPr>
              <w:t>Acupuncture and Massage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医学昆虫学</w:t>
            </w:r>
            <w:r>
              <w:br/>
            </w:r>
            <w:r>
              <w:br/>
            </w:r>
            <w:r>
              <w:rPr>
                <w:rFonts w:ascii="SimSun" w:hAnsi="SimSun"/>
                <w:b w:val="false"/>
                <w:i w:val="false"/>
                <w:color w:val="000000"/>
                <w:sz w:val="21"/>
              </w:rPr>
              <w:t>Medical Entomology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高级病原生物学</w:t>
            </w:r>
            <w:r>
              <w:br/>
            </w:r>
            <w:r>
              <w:br/>
            </w:r>
            <w:r>
              <w:rPr>
                <w:rFonts w:ascii="SimSun" w:hAnsi="SimSun"/>
                <w:b w:val="false"/>
                <w:i w:val="false"/>
                <w:color w:val="000000"/>
                <w:sz w:val="21"/>
              </w:rPr>
              <w:t>Advanced Pathogenic 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基本生命支持技能培训</w:t>
            </w:r>
            <w:r>
              <w:br/>
            </w:r>
            <w:r>
              <w:br/>
            </w:r>
            <w:r>
              <w:rPr>
                <w:rFonts w:ascii="SimSun" w:hAnsi="SimSun"/>
                <w:b w:val="false"/>
                <w:i w:val="false"/>
                <w:color w:val="000000"/>
                <w:sz w:val="21"/>
              </w:rPr>
              <w:t>Cardiopulmonary Resuscitation:Principles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整形美容外科学</w:t>
            </w:r>
            <w:r>
              <w:br/>
            </w:r>
            <w:r>
              <w:br/>
            </w:r>
            <w:r>
              <w:rPr>
                <w:rFonts w:ascii="SimSun" w:hAnsi="SimSun"/>
                <w:b w:val="false"/>
                <w:i w:val="false"/>
                <w:color w:val="000000"/>
                <w:sz w:val="21"/>
              </w:rPr>
              <w:t>Plastic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老年医学概论</w:t>
            </w:r>
            <w:r>
              <w:br/>
            </w:r>
            <w:r>
              <w:br/>
            </w:r>
            <w:r>
              <w:rPr>
                <w:rFonts w:ascii="SimSun" w:hAnsi="SimSun"/>
                <w:b w:val="false"/>
                <w:i w:val="false"/>
                <w:color w:val="000000"/>
                <w:sz w:val="21"/>
              </w:rPr>
              <w:t>Introduction to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基础医学研究入门</w:t>
            </w:r>
            <w:r>
              <w:br/>
            </w:r>
            <w:r>
              <w:br/>
            </w:r>
            <w:r>
              <w:rPr>
                <w:rFonts w:ascii="SimSun" w:hAnsi="SimSun"/>
                <w:b w:val="false"/>
                <w:i w:val="false"/>
                <w:color w:val="000000"/>
                <w:sz w:val="21"/>
              </w:rPr>
              <w:t>Introduction to Basic Medical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医学与生物安全</w:t>
            </w:r>
            <w:r>
              <w:br/>
            </w:r>
            <w:r>
              <w:br/>
            </w:r>
            <w:r>
              <w:rPr>
                <w:rFonts w:ascii="SimSun" w:hAnsi="SimSun"/>
                <w:b w:val="false"/>
                <w:i w:val="false"/>
                <w:color w:val="000000"/>
                <w:sz w:val="21"/>
              </w:rPr>
              <w:t>Medicine and Biosafety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临床病理讨论课程</w:t>
            </w:r>
            <w:r>
              <w:br/>
            </w:r>
            <w:r>
              <w:br/>
            </w:r>
            <w:r>
              <w:rPr>
                <w:rFonts w:ascii="SimSun" w:hAnsi="SimSun"/>
                <w:b w:val="false"/>
                <w:i w:val="false"/>
                <w:color w:val="000000"/>
                <w:sz w:val="21"/>
              </w:rPr>
              <w:t>Seminar in Clinical Pathology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动物疾病和人类健康</w:t>
            </w:r>
            <w:r>
              <w:br/>
            </w:r>
            <w:r>
              <w:br/>
            </w:r>
            <w:r>
              <w:rPr>
                <w:rFonts w:ascii="SimSun" w:hAnsi="SimSun"/>
                <w:b w:val="false"/>
                <w:i w:val="false"/>
                <w:color w:val="000000"/>
                <w:sz w:val="21"/>
              </w:rPr>
              <w:t>Animal Diseases and Human Health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艾滋病基础和临床</w:t>
            </w:r>
            <w:r>
              <w:br/>
            </w:r>
            <w:r>
              <w:br/>
            </w:r>
            <w:r>
              <w:rPr>
                <w:rFonts w:ascii="SimSun" w:hAnsi="SimSun"/>
                <w:b w:val="false"/>
                <w:i w:val="false"/>
                <w:color w:val="000000"/>
                <w:sz w:val="21"/>
              </w:rPr>
              <w:t>Acquired Immunodeficiency Syndrome: Basic and Clinical 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肿瘤分子生物学</w:t>
            </w:r>
            <w:r>
              <w:br/>
            </w:r>
            <w:r>
              <w:br/>
            </w:r>
            <w:r>
              <w:rPr>
                <w:rFonts w:ascii="SimSun" w:hAnsi="SimSun"/>
                <w:b w:val="false"/>
                <w:i w:val="false"/>
                <w:color w:val="000000"/>
                <w:sz w:val="21"/>
              </w:rPr>
              <w:t>Molecular Biology of Cancer</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医学影像信息学概论</w:t>
            </w:r>
            <w:r>
              <w:br/>
            </w:r>
            <w:r>
              <w:br/>
            </w:r>
            <w:r>
              <w:rPr>
                <w:rFonts w:ascii="SimSun" w:hAnsi="SimSun"/>
                <w:b w:val="false"/>
                <w:i w:val="false"/>
                <w:color w:val="000000"/>
                <w:sz w:val="21"/>
              </w:rPr>
              <w:t>Medical Imaging Informatics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医疗纠纷防范与应对</w:t>
            </w:r>
            <w:r>
              <w:br/>
            </w:r>
            <w:r>
              <w:br/>
            </w:r>
            <w:r>
              <w:rPr>
                <w:rFonts w:ascii="SimSun" w:hAnsi="SimSun"/>
                <w:b w:val="false"/>
                <w:i w:val="false"/>
                <w:color w:val="000000"/>
                <w:sz w:val="21"/>
              </w:rPr>
              <w:t>Prevention and Response to Medical Tangle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中医骨伤科学概论</w:t>
            </w:r>
            <w:r>
              <w:br/>
            </w:r>
            <w:r>
              <w:br/>
            </w:r>
            <w:r>
              <w:rPr>
                <w:rFonts w:ascii="SimSun" w:hAnsi="SimSun"/>
                <w:b w:val="false"/>
                <w:i w:val="false"/>
                <w:color w:val="000000"/>
                <w:sz w:val="21"/>
              </w:rPr>
              <w:t>Traumatology and Orthopedics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老年基础医学进展</w:t>
            </w:r>
            <w:r>
              <w:br/>
            </w:r>
            <w:r>
              <w:br/>
            </w:r>
            <w:r>
              <w:rPr>
                <w:rFonts w:ascii="SimSun" w:hAnsi="SimSun"/>
                <w:b w:val="false"/>
                <w:i w:val="false"/>
                <w:color w:val="000000"/>
                <w:sz w:val="21"/>
              </w:rPr>
              <w:t>Progress of Basic Research on Geriatric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走近临床Ⅱ—医护初体验</w:t>
            </w:r>
            <w:r>
              <w:br/>
            </w:r>
            <w:r>
              <w:br/>
            </w:r>
            <w:r>
              <w:rPr>
                <w:rFonts w:ascii="SimSun" w:hAnsi="SimSun"/>
                <w:b w:val="false"/>
                <w:i w:val="false"/>
                <w:color w:val="000000"/>
                <w:sz w:val="21"/>
              </w:rPr>
              <w:t>Approaching ClinicⅡ: Experience doctoring and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颅颈交界外科学—机遇和挑战</w:t>
            </w:r>
            <w:r>
              <w:br/>
            </w:r>
            <w:r>
              <w:br/>
            </w:r>
            <w:r>
              <w:rPr>
                <w:rFonts w:ascii="SimSun" w:hAnsi="SimSun"/>
                <w:b w:val="false"/>
                <w:i w:val="false"/>
                <w:color w:val="000000"/>
                <w:sz w:val="21"/>
              </w:rPr>
              <w:t>Cranio-cervical junction surgery：Opportunities and Challenges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中医老年病学概论</w:t>
            </w:r>
            <w:r>
              <w:br/>
            </w:r>
            <w:r>
              <w:br/>
            </w:r>
            <w:r>
              <w:rPr>
                <w:rFonts w:ascii="SimSun" w:hAnsi="SimSun"/>
                <w:b w:val="false"/>
                <w:i w:val="false"/>
                <w:color w:val="000000"/>
                <w:sz w:val="21"/>
              </w:rPr>
              <w:t>Geriatrics of Traditional Chinese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实验诊断学与临床沟通</w:t>
            </w:r>
            <w:r>
              <w:br/>
            </w:r>
            <w:r>
              <w:br/>
            </w:r>
            <w:r>
              <w:rPr>
                <w:rFonts w:ascii="SimSun" w:hAnsi="SimSun"/>
                <w:b w:val="false"/>
                <w:i w:val="false"/>
                <w:color w:val="000000"/>
                <w:sz w:val="21"/>
              </w:rPr>
              <w:t>Laboratory diagnostics and clinical communication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急危重症医学概论</w:t>
            </w:r>
            <w:r>
              <w:br/>
            </w:r>
            <w:r>
              <w:br/>
            </w:r>
            <w:r>
              <w:rPr>
                <w:rFonts w:ascii="SimSun" w:hAnsi="SimSun"/>
                <w:b w:val="false"/>
                <w:i w:val="false"/>
                <w:color w:val="000000"/>
                <w:sz w:val="21"/>
              </w:rPr>
              <w:t>Basic Assessment and Support of Critically Ill Patients for Medical Student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现代医院质量评价及管理工具应用</w:t>
            </w:r>
            <w:r>
              <w:br/>
            </w:r>
            <w:r>
              <w:br/>
            </w:r>
            <w:r>
              <w:rPr>
                <w:rFonts w:ascii="SimSun" w:hAnsi="SimSun"/>
                <w:b w:val="false"/>
                <w:i w:val="false"/>
                <w:color w:val="000000"/>
                <w:sz w:val="21"/>
              </w:rPr>
              <w:t>Modern hospital quality evaluation and management tool application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整复外科学基础</w:t>
            </w:r>
            <w:r>
              <w:br/>
            </w:r>
            <w:r>
              <w:br/>
            </w:r>
            <w:r>
              <w:rPr>
                <w:rFonts w:ascii="SimSun" w:hAnsi="SimSun"/>
                <w:b w:val="false"/>
                <w:i w:val="false"/>
                <w:color w:val="000000"/>
                <w:sz w:val="21"/>
              </w:rPr>
              <w:t>Principle of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老年医学临床决策及案例解析</w:t>
            </w:r>
            <w:r>
              <w:br/>
            </w:r>
            <w:r>
              <w:br/>
            </w:r>
            <w:r>
              <w:rPr>
                <w:rFonts w:ascii="SimSun" w:hAnsi="SimSun"/>
                <w:b w:val="false"/>
                <w:i w:val="false"/>
                <w:color w:val="000000"/>
                <w:sz w:val="21"/>
              </w:rPr>
              <w:t>Teaching Practice of Clinical Skills in Geriatrics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临床肿瘤免疫学基础</w:t>
            </w:r>
            <w:r>
              <w:br/>
            </w:r>
            <w:r>
              <w:br/>
            </w:r>
            <w:r>
              <w:rPr>
                <w:rFonts w:ascii="SimSun" w:hAnsi="SimSun"/>
                <w:b w:val="false"/>
                <w:i w:val="false"/>
                <w:color w:val="000000"/>
                <w:sz w:val="21"/>
              </w:rPr>
              <w:t>Basic Immunology of Clinical Oncology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心理社会肿瘤学实践与进展</w:t>
            </w:r>
            <w:r>
              <w:br/>
            </w:r>
            <w:r>
              <w:br/>
            </w:r>
            <w:r>
              <w:rPr>
                <w:rFonts w:ascii="SimSun" w:hAnsi="SimSun"/>
                <w:b w:val="false"/>
                <w:i w:val="false"/>
                <w:color w:val="000000"/>
                <w:sz w:val="21"/>
              </w:rPr>
              <w:t>Psycho-social Oncology, Practice and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医学科技创新与转化</w:t>
            </w:r>
            <w:r>
              <w:br/>
            </w:r>
            <w:r>
              <w:br/>
            </w:r>
            <w:r>
              <w:rPr>
                <w:rFonts w:ascii="SimSun" w:hAnsi="SimSun"/>
                <w:b w:val="false"/>
                <w:i w:val="false"/>
                <w:color w:val="000000"/>
                <w:sz w:val="21"/>
              </w:rPr>
              <w:t>Medical science and technology innovation and transformation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肥胖医学</w:t>
            </w:r>
            <w:r>
              <w:br/>
            </w:r>
            <w:r>
              <w:br/>
            </w:r>
            <w:r>
              <w:rPr>
                <w:rFonts w:ascii="SimSun" w:hAnsi="SimSun"/>
                <w:b w:val="false"/>
                <w:i w:val="false"/>
                <w:color w:val="000000"/>
                <w:sz w:val="21"/>
              </w:rPr>
              <w:t>Obesity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育龄期女性乳腺疾病诊疗学</w:t>
            </w:r>
            <w:r>
              <w:br/>
            </w:r>
            <w:r>
              <w:br/>
            </w:r>
            <w:r>
              <w:rPr>
                <w:rFonts w:ascii="SimSun" w:hAnsi="SimSun"/>
                <w:b w:val="false"/>
                <w:i w:val="false"/>
                <w:color w:val="000000"/>
                <w:sz w:val="21"/>
              </w:rPr>
              <w:t>Diagnosis and treatment of breast disease during childbearing period—the art of whole care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精准医学时代的肿瘤影像学</w:t>
            </w:r>
            <w:r>
              <w:br/>
            </w:r>
            <w:r>
              <w:br/>
            </w:r>
            <w:r>
              <w:rPr>
                <w:rFonts w:ascii="SimSun" w:hAnsi="SimSun"/>
                <w:b w:val="false"/>
                <w:i w:val="false"/>
                <w:color w:val="000000"/>
                <w:sz w:val="21"/>
              </w:rPr>
              <w:t>Tumor Imaging in The Era of Precision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眼耳鼻整形与美容</w:t>
            </w:r>
            <w:r>
              <w:br/>
            </w:r>
            <w:r>
              <w:br/>
            </w:r>
            <w:r>
              <w:rPr>
                <w:rFonts w:ascii="SimSun" w:hAnsi="SimSun"/>
                <w:b w:val="false"/>
                <w:i w:val="false"/>
                <w:color w:val="000000"/>
                <w:sz w:val="21"/>
              </w:rPr>
              <w:t>Facial Plastic and Reconstructive Surgery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感染性疾病与抗微生物治疗</w:t>
            </w:r>
            <w:r>
              <w:br/>
            </w:r>
            <w:r>
              <w:br/>
            </w:r>
            <w:r>
              <w:rPr>
                <w:rFonts w:ascii="SimSun" w:hAnsi="SimSun"/>
                <w:b w:val="false"/>
                <w:i w:val="false"/>
                <w:color w:val="000000"/>
                <w:sz w:val="21"/>
              </w:rPr>
              <w:t>Infectious Diseases and Antimicrobial Therapy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患者安全</w:t>
            </w:r>
            <w:r>
              <w:br/>
            </w:r>
            <w:r>
              <w:br/>
            </w:r>
            <w:r>
              <w:rPr>
                <w:rFonts w:ascii="SimSun" w:hAnsi="SimSun"/>
                <w:b w:val="false"/>
                <w:i w:val="false"/>
                <w:color w:val="000000"/>
                <w:sz w:val="21"/>
              </w:rPr>
              <w:t>Patient safety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神经外科与神经科学前沿</w:t>
            </w:r>
            <w:r>
              <w:br/>
            </w:r>
            <w:r>
              <w:br/>
            </w:r>
            <w:r>
              <w:rPr>
                <w:rFonts w:ascii="SimSun" w:hAnsi="SimSun"/>
                <w:b w:val="false"/>
                <w:i w:val="false"/>
                <w:color w:val="000000"/>
                <w:sz w:val="21"/>
              </w:rPr>
              <w:t>Frontiers in Neurosurgery and Neuroscience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输血医学</w:t>
            </w:r>
            <w:r>
              <w:br/>
            </w:r>
            <w:r>
              <w:br/>
            </w:r>
            <w:r>
              <w:rPr>
                <w:rFonts w:ascii="SimSun" w:hAnsi="SimSun"/>
                <w:b w:val="false"/>
                <w:i w:val="false"/>
                <w:color w:val="000000"/>
                <w:sz w:val="21"/>
              </w:rPr>
              <w:t>Transfusion Medicine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遗传罕见病学</w:t>
            </w:r>
            <w:r>
              <w:br/>
            </w:r>
            <w:r>
              <w:br/>
            </w:r>
            <w:r>
              <w:rPr>
                <w:rFonts w:ascii="SimSun" w:hAnsi="SimSun"/>
                <w:b w:val="false"/>
                <w:i w:val="false"/>
                <w:color w:val="000000"/>
                <w:sz w:val="21"/>
              </w:rPr>
              <w:t>Genetic rare disease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AI技术和内科学诊疗</w:t>
            </w:r>
            <w:r>
              <w:br/>
            </w:r>
            <w:r>
              <w:br/>
            </w:r>
            <w:r>
              <w:rPr>
                <w:rFonts w:ascii="SimSun" w:hAnsi="SimSun"/>
                <w:b w:val="false"/>
                <w:i w:val="false"/>
                <w:color w:val="000000"/>
                <w:sz w:val="21"/>
              </w:rPr>
              <w:t>AI technology and Internal medicine diagnosis and treatment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智能肿瘤学的探索实践与临床应用</w:t>
            </w:r>
            <w:r>
              <w:br/>
            </w:r>
            <w:r>
              <w:br/>
            </w:r>
            <w:r>
              <w:rPr>
                <w:rFonts w:ascii="SimSun" w:hAnsi="SimSun"/>
                <w:b w:val="false"/>
                <w:i w:val="false"/>
                <w:color w:val="000000"/>
                <w:sz w:val="21"/>
              </w:rPr>
              <w:t>Exploration, Practice, and Clinical Application in Intelligent Oncology</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肿瘤外科实习、肿瘤放疗科实习二选一
       </w:t>
      </w:r>
      <w:r>
        <w:br/>
      </w:r>
      <w:r>
        <w:rPr>
          <w:rFonts w:ascii="SimSun" w:hAnsi="SimSun"/>
          <w:b w:val="false"/>
          <w:i w:val="false"/>
          <w:color w:val="000000"/>
          <w:sz w:val="21"/>
        </w:rPr>
        <w:t xml:space="preserve">
       </w:t>
      </w:r>
      <w:r>
        <w:br/>
      </w:r>
      <w:r>
        <w:rPr>
          <w:rFonts w:ascii="SimSun" w:hAnsi="SimSun"/>
          <w:b w:val="false"/>
          <w:i w:val="false"/>
          <w:color w:val="000000"/>
          <w:sz w:val="21"/>
        </w:rPr>
        <w:t xml:space="preserve">眼科实习、耳鼻喉科实习二选一
      </w:t>
      </w:r>
    </w:p>
    <w:tbl>
      <w:tblPr>
        <w:tblW w:w="0" w:type="auto"/>
        <w:tblCellSpacing w:w="0" w:type="auto"/>
        <w:tblBorders>
          <w:top w:val="none"/>
          <w:left w:val="none"/>
          <w:bottom w:val="none"/>
          <w:right w:val="none"/>
          <w:insideH w:val="none"/>
          <w:insideV w:val="none"/>
        </w:tblBorders>
      </w:tblPr>
      <w:tblGrid>
        <w:gridCol w:w="3140"/>
        <w:gridCol w:w="784"/>
        <w:gridCol w:w="784"/>
        <w:gridCol w:w="1099"/>
        <w:gridCol w:w="1730"/>
        <w:gridCol w:w="784"/>
        <w:gridCol w:w="784"/>
        <w:gridCol w:w="784"/>
        <w:gridCol w:w="1074"/>
        <w:gridCol w:w="1099"/>
        <w:gridCol w:w="1572"/>
      </w:tblGrid>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走近生物医学</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MED20108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临床科研入门III</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MED30139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临床科研入门IV</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科创实践</w:t>
            </w:r>
            <w:r>
              <w:br/>
            </w:r>
            <w:r>
              <w:br/>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完成一项复芏计划</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与肿瘤放疗科实习二选一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与肿瘤外科实习二选一</w:t>
            </w:r>
          </w:p>
        </w:tc>
      </w:tr>
      <w:tr>
        <w:trPr>
          <w:trHeight w:val="45" w:hRule="atLeast"/>
        </w:trPr>
        <w:tc>
          <w:tcPr>
            <w:tcW w:w="31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1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