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高分子科学系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2025高分子材料与工程-信息与计算科学（人工智能方向）双学士学位项目培养方案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高分子科学系是我国最早从事高分子科学的教学和研究的单位之一，设有高分子材料与工程本科专业，也是“强基计划”化学(高分子化学)专业培养单位。设有高分子化学与物理硕士点、博士点、博士后科研流动站，还设有材料与化工专业硕士点、博士点，建设有聚合物分子工程全国重点实验室及上海市聚合物分子工程专业技术服务平台。高分子科学系以先进的育人理念、雄厚的师资力量、和谐的管理氛围、优质的学术成果等优势，是我国培养高分子及相关学科创新人才及开展前沿科学研究的重要基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培养德智体美劳全面发展，具有宽广的人文、社会和自然科学基础理论和基础知识，有扎实的高分子、信息与计算科学基本理论、基本知识和基本实验技能，良好的科学素养和创新意识，既能从事高分子科学基础研究和高分子、信息与计算科学交叉研究，又能从事技术开发和管理、并有较强创新创业能力的多元发展型综合人才。</w:t>
      </w:r>
      <w:r>
        <w:br/>
      </w:r>
      <w:r>
        <w:br/>
      </w:r>
      <w:r>
        <w:rPr>
          <w:rFonts w:ascii="SimSun" w:hAnsi="SimSun"/>
          <w:b w:val="false"/>
          <w:i w:val="false"/>
          <w:color w:val="000000"/>
          <w:sz w:val="21"/>
        </w:rPr>
        <w:t xml:space="preserve">    要求学生掌握必要的数学、物理、计算机科学与技术等学科基本知识，具有较高的外语水平和信息技术应用能力，系统地掌握高分子、人工智能及相关学科的基本理论、基础知识、实践和开发技能；掌握基本的科学研究方法，具有高分子+人工智能跨学科领域的创新意识和能力，具有发现问题、提出问题、分析和解决实际问题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学分要求
      </w:t>
      </w:r>
    </w:p>
    <w:p>
      <w:pPr>
        <w:spacing w:after="0"/>
        <w:ind w:left="0"/>
        <w:jc w:val="left"/>
      </w:pPr>
      <w:r>
        <w:drawing>
          <wp:inline distT="0" distB="0" distL="0" distR="0">
            <wp:extent cx="3674533" cy="162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74533" cy="16256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1、专业进阶路径：180学分</w:t>
      </w:r>
    </w:p>
    <w:p>
      <w:pPr>
        <w:spacing w:after="0"/>
        <w:ind w:left="0"/>
        <w:jc w:val="left"/>
      </w:pPr>
      <w:r>
        <w:rPr>
          <w:rFonts w:ascii="SimSun" w:hAnsi="SimSun"/>
          <w:b w:val="false"/>
          <w:i w:val="false"/>
          <w:color w:val="000000"/>
          <w:sz w:val="21"/>
        </w:rPr>
        <w:t xml:space="preserve">本路径学生本博期间必须修满教学计划规定的180学分（含实践学分不低于45学分；含美育学分不少于2学分，其中至少在“美学和艺术史论类”或“艺术鉴赏和评论类”课程中修读1学分，并至少参与一项艺术实践活动；劳动教育不少于32学时，并满足劳动周教育要求），包括通识教育课程39学分、专业培养课程96学分、专业进阶I修读15学分、专业进阶II修读9学分、融合创新能力培养模块21学分的修读。 </w:t>
      </w:r>
    </w:p>
    <w:p>
      <w:pPr>
        <w:spacing w:after="0"/>
        <w:ind w:left="0"/>
        <w:jc w:val="left"/>
      </w:pPr>
      <w:r>
        <w:rPr>
          <w:rFonts w:ascii="SimSun" w:hAnsi="SimSun"/>
          <w:b w:val="false"/>
          <w:i w:val="false"/>
          <w:color w:val="000000"/>
          <w:sz w:val="21"/>
        </w:rPr>
        <w:t>2、荣誉项目：186学分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在专业进阶路径基础上，修读荣誉课程不少于6门课。荣誉项目课程设置和修读要求请见高分子科学系“荣誉项目”实施方案。下载地址：https://jwc.fudan.edu.cn/（复旦大学教务处）专业培养-常用文档。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w:t>
      </w:r>
    </w:p>
    <w:p>
      <w:pPr>
        <w:spacing w:after="0"/>
        <w:ind w:left="0"/>
        <w:jc w:val="left"/>
      </w:pPr>
      <w:r>
        <w:rPr>
          <w:rFonts w:ascii="SimSun" w:hAnsi="SimSun"/>
          <w:b w:val="false"/>
          <w:i w:val="false"/>
          <w:color w:val="000000"/>
          <w:sz w:val="21"/>
        </w:rPr>
        <w:t xml:space="preserve">  可修读1个非本专业独立开设的微专业（学程）15学分替代专业进阶模块学分，具体要求见教务处学程实施方案。</w:t>
      </w:r>
    </w:p>
    <w:p>
      <w:pPr>
        <w:spacing w:after="0"/>
        <w:ind w:left="0"/>
        <w:jc w:val="left"/>
      </w:pPr>
      <w:r>
        <w:rPr>
          <w:rFonts w:ascii="SimSun" w:hAnsi="SimSun"/>
          <w:b/>
          <w:i w:val="false"/>
          <w:color w:val="000000"/>
          <w:sz w:val="24"/>
        </w:rPr>
        <w:t xml:space="preserve">
       五.    学位要求
      </w:t>
      </w:r>
    </w:p>
    <w:p>
      <w:pPr>
        <w:spacing w:after="0"/>
        <w:ind w:left="0"/>
        <w:jc w:val="left"/>
      </w:pPr>
      <w:r>
        <w:rPr>
          <w:rFonts w:ascii="SimSun" w:hAnsi="SimSun"/>
          <w:b w:val="false"/>
          <w:i w:val="false"/>
          <w:color w:val="000000"/>
          <w:sz w:val="21"/>
        </w:rPr>
        <w:t xml:space="preserve">4年级结束时，如达到学士学位要求者理授予理学、工学学士学位。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（3）在此基础上，达到高分子科学系“荣誉证书”获得条件的授予“荣誉证书”，具体要求请见高分子科学系“荣誉项目”实施方案。</w:t>
      </w:r>
    </w:p>
    <w:p>
      <w:pPr>
        <w:spacing w:after="0"/>
        <w:ind w:left="0"/>
        <w:jc w:val="left"/>
      </w:pPr>
      <w:r>
        <w:rPr>
          <w:rFonts w:ascii="SimSun" w:hAnsi="SimSun"/>
          <w:b/>
          <w:i w:val="false"/>
          <w:color w:val="000000"/>
          <w:sz w:val="24"/>
        </w:rPr>
        <w:t xml:space="preserve">
       六.    课程设置与修读要求
      </w:t>
      </w:r>
    </w:p>
    <w:p>
      <w:pPr>
        <w:spacing w:after="0"/>
        <w:ind w:left="0"/>
        <w:jc w:val="left"/>
      </w:pPr>
      <w:r>
        <w:rPr>
          <w:rFonts w:ascii="SimSun" w:hAnsi="SimSun"/>
          <w:b w:val="false"/>
          <w:i w:val="false"/>
          <w:color w:val="000000"/>
          <w:sz w:val="21"/>
        </w:rPr>
        <w:t>(一) 通识教育课程(39学分)</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1.通识教育核心课程（26学分）</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要求修读26学分，含思想政治理论课19学分，七大模块课程6学分（美育学分不少于2学分，同时回避第五模块“科学探索与技术创新”，即修读第五模块将不计入七大模块6个学分中），大学生国家安全教育1学分。</w:t>
      </w:r>
    </w:p>
    <w:p>
      <w:pPr>
        <w:spacing w:after="0"/>
        <w:ind w:left="0"/>
        <w:jc w:val="left"/>
      </w:pPr>
      <w:r>
        <w:rPr>
          <w:rFonts w:ascii="SimSun" w:hAnsi="SimSun"/>
          <w:b w:val="false"/>
          <w:i w:val="false"/>
          <w:color w:val="000000"/>
          <w:sz w:val="21"/>
        </w:rPr>
        <w:t>2. 专项教育课程（13学分）</w:t>
      </w:r>
    </w:p>
    <w:p>
      <w:pPr>
        <w:spacing w:after="0"/>
        <w:ind w:left="0"/>
        <w:jc w:val="left"/>
      </w:pPr>
      <w:r>
        <w:rPr>
          <w:rFonts w:ascii="SimSun" w:hAnsi="SimSun"/>
          <w:b w:val="false"/>
          <w:i w:val="false"/>
          <w:color w:val="000000"/>
          <w:sz w:val="21"/>
        </w:rPr>
        <w:t xml:space="preserve"> 要求至少修读13学分。 </w:t>
      </w:r>
    </w:p>
    <w:p>
      <w:pPr>
        <w:spacing w:after="0"/>
        <w:ind w:left="0"/>
        <w:jc w:val="left"/>
      </w:pPr>
      <w:r>
        <w:rPr>
          <w:rFonts w:ascii="SimSun" w:hAnsi="SimSun"/>
          <w:b w:val="false"/>
          <w:i w:val="false"/>
          <w:color w:val="000000"/>
          <w:sz w:val="21"/>
        </w:rPr>
        <w:t>（二）专业培养课程（96学分）</w:t>
      </w:r>
    </w:p>
    <w:p>
      <w:pPr>
        <w:spacing w:after="0"/>
        <w:ind w:left="0"/>
        <w:jc w:val="left"/>
      </w:pPr>
      <w:r>
        <w:rPr>
          <w:rFonts w:ascii="SimSun" w:hAnsi="SimSun"/>
          <w:b w:val="false"/>
          <w:i w:val="false"/>
          <w:color w:val="000000"/>
          <w:sz w:val="21"/>
        </w:rPr>
        <w:t>专业培养课程包括学科基础课程和专业核心教育课程。</w:t>
      </w:r>
    </w:p>
    <w:p>
      <w:pPr>
        <w:spacing w:after="0"/>
        <w:ind w:left="0"/>
        <w:jc w:val="left"/>
      </w:pPr>
      <w:r>
        <w:rPr>
          <w:rFonts w:ascii="SimSun" w:hAnsi="SimSun"/>
          <w:b w:val="false"/>
          <w:i w:val="false"/>
          <w:color w:val="000000"/>
          <w:sz w:val="21"/>
        </w:rPr>
        <w:t>1. 学科基础课程（33学分）</w:t>
      </w:r>
    </w:p>
    <w:p>
      <w:pPr>
        <w:spacing w:after="0"/>
        <w:ind w:left="0"/>
        <w:jc w:val="left"/>
      </w:pPr>
      <w:r>
        <w:rPr>
          <w:rFonts w:ascii="SimSun" w:hAnsi="SimSun"/>
          <w:b w:val="false"/>
          <w:i w:val="false"/>
          <w:color w:val="000000"/>
          <w:sz w:val="21"/>
        </w:rPr>
        <w:t xml:space="preserve">   其中A组为第一学位课程，要求至少修读16学分；B组为第二学位课程，要求修读17学分。</w:t>
      </w:r>
    </w:p>
    <w:p>
      <w:pPr>
        <w:spacing w:after="0"/>
        <w:ind w:left="0"/>
        <w:jc w:val="left"/>
      </w:pPr>
      <w:r>
        <w:rPr>
          <w:rFonts w:ascii="SimSun" w:hAnsi="SimSun"/>
          <w:b w:val="false"/>
          <w:i w:val="false"/>
          <w:color w:val="000000"/>
          <w:sz w:val="21"/>
        </w:rPr>
        <w:t>2. 专业核心教育课程（63学分）</w:t>
      </w:r>
    </w:p>
    <w:p>
      <w:pPr>
        <w:spacing w:after="0"/>
        <w:ind w:left="0"/>
        <w:jc w:val="left"/>
      </w:pPr>
      <w:r>
        <w:rPr>
          <w:rFonts w:ascii="SimSun" w:hAnsi="SimSun"/>
          <w:b w:val="false"/>
          <w:i w:val="false"/>
          <w:color w:val="000000"/>
          <w:sz w:val="21"/>
        </w:rPr>
        <w:t xml:space="preserve"> 要求修读63学分（部分课程学分可用荣誉课程学分替换）。</w:t>
      </w:r>
      <w:r>
        <w:br/>
      </w:r>
      <w:r>
        <w:br/>
      </w:r>
      <w:r>
        <w:rPr>
          <w:rFonts w:ascii="SimSun" w:hAnsi="SimSun"/>
          <w:b w:val="false"/>
          <w:i w:val="false"/>
          <w:color w:val="000000"/>
          <w:sz w:val="21"/>
        </w:rPr>
        <w:t>其中A组为第一学位课程，要求修读28学分；B组为第二学位课程，要求修读35学分。</w:t>
      </w:r>
    </w:p>
    <w:p>
      <w:pPr>
        <w:spacing w:after="0"/>
        <w:ind w:left="0"/>
        <w:jc w:val="left"/>
      </w:pPr>
      <w:r>
        <w:rPr>
          <w:rFonts w:ascii="SimSun" w:hAnsi="SimSun"/>
          <w:b w:val="false"/>
          <w:i w:val="false"/>
          <w:color w:val="000000"/>
          <w:sz w:val="21"/>
        </w:rPr>
        <w:t>（三）多元发展路径课程</w:t>
      </w:r>
    </w:p>
    <w:p>
      <w:pPr>
        <w:spacing w:after="0"/>
        <w:ind w:left="0"/>
        <w:jc w:val="left"/>
      </w:pPr>
      <w:r>
        <w:rPr>
          <w:rFonts w:ascii="SimSun" w:hAnsi="SimSun"/>
          <w:b w:val="false"/>
          <w:i w:val="false"/>
          <w:color w:val="000000"/>
          <w:sz w:val="21"/>
        </w:rPr>
        <w:t xml:space="preserve">  包括专业进阶路径、荣誉项目，要求在院系专业导师指导下选择1条发展路径，按路径要求修读课程。</w:t>
      </w:r>
    </w:p>
    <w:p>
      <w:pPr>
        <w:spacing w:after="0"/>
        <w:ind w:left="0"/>
        <w:jc w:val="left"/>
      </w:pPr>
      <w:r>
        <w:rPr>
          <w:rFonts w:ascii="SimSun" w:hAnsi="SimSun"/>
          <w:b w:val="false"/>
          <w:i w:val="false"/>
          <w:color w:val="000000"/>
          <w:sz w:val="21"/>
        </w:rPr>
        <w:t>1.专业进阶路径（24学分）</w:t>
      </w:r>
    </w:p>
    <w:p>
      <w:pPr>
        <w:spacing w:after="0"/>
        <w:ind w:left="0"/>
        <w:jc w:val="left"/>
      </w:pPr>
      <w:r>
        <w:rPr>
          <w:rFonts w:ascii="SimSun" w:hAnsi="SimSun"/>
          <w:b w:val="false"/>
          <w:i w:val="false"/>
          <w:color w:val="000000"/>
          <w:sz w:val="21"/>
        </w:rPr>
        <w:t xml:space="preserve">   修满24学分。要求在本专业进阶模块修读24学分。</w:t>
      </w:r>
    </w:p>
    <w:p>
      <w:pPr>
        <w:spacing w:after="0"/>
        <w:ind w:left="0"/>
        <w:jc w:val="left"/>
      </w:pPr>
      <w:r>
        <w:rPr>
          <w:rFonts w:ascii="SimSun" w:hAnsi="SimSun"/>
          <w:b w:val="false"/>
          <w:i w:val="false"/>
          <w:color w:val="000000"/>
          <w:sz w:val="21"/>
        </w:rPr>
        <w:t>2. 荣誉项目（30学分）</w:t>
      </w:r>
    </w:p>
    <w:p>
      <w:pPr>
        <w:spacing w:after="0"/>
        <w:ind w:left="0"/>
        <w:jc w:val="left"/>
      </w:pPr>
      <w:r>
        <w:rPr>
          <w:rFonts w:ascii="SimSun" w:hAnsi="SimSun"/>
          <w:b w:val="false"/>
          <w:i w:val="false"/>
          <w:color w:val="000000"/>
          <w:sz w:val="21"/>
        </w:rPr>
        <w:t xml:space="preserve">  要求修读荣誉课程不低于24学分（不少于6门课，且在高分子化学A(H)、高分子物理(H)、高分子实验(H)、物理化学AII(H)、物理化学AⅢ(H)、有机化学AII (H)、高分子反应工程(H)中至少修读4门），且满足专业进阶模块修读15学分。</w:t>
      </w:r>
    </w:p>
    <w:p>
      <w:pPr>
        <w:spacing w:after="0"/>
        <w:ind w:left="0"/>
        <w:jc w:val="left"/>
      </w:pPr>
      <w:r>
        <w:rPr>
          <w:rFonts w:ascii="SimSun" w:hAnsi="SimSun"/>
          <w:b w:val="false"/>
          <w:i w:val="false"/>
          <w:color w:val="000000"/>
          <w:sz w:val="21"/>
        </w:rPr>
        <w:t>（四）融合创新能力培养模块（21学分）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27学分，含思想政治理论课19学分，七大模块课程8学分（每模块最多修读1门课程，同时回避第五模块“科学探索与技术创新”，即修读第五模块将不计入七大模块8个学分中），课程设置详见核心课程七大模块和高分子材料与工程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大类基础课程</w:t>
      </w:r>
      <w:r>
        <w:rPr>
          <w:rFonts w:ascii="SimSun" w:hAnsi="SimSun"/>
          <w:b/>
          <w:i w:val="false"/>
          <w:color w:val="000000"/>
          <w:sz w:val="21"/>
        </w:rPr>
        <w:t>（33学分）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要求修读26学分，课程设置详见大类基础课程和高分子材料与工程专业修读建议。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3"/>
        <w:gridCol w:w="2715"/>
        <w:gridCol w:w="677"/>
        <w:gridCol w:w="679"/>
        <w:gridCol w:w="945"/>
        <w:gridCol w:w="1585"/>
        <w:gridCol w:w="679"/>
        <w:gridCol w:w="677"/>
        <w:gridCol w:w="677"/>
        <w:gridCol w:w="677"/>
        <w:gridCol w:w="947"/>
        <w:gridCol w:w="1353"/>
      </w:tblGrid>
      <w:tr>
        <w:trPr>
          <w:trHeight w:val="45" w:hRule="atLeast"/>
        </w:trPr>
        <w:tc>
          <w:tcPr>
            <w:tcW w:w="20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3"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工学基础课程</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B组必修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B组必修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B组必修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B组必修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A组必修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A组必修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A组选修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A组选修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A组选修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A组选修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A组选修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A组选修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Basics of Analog Electronics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A组选修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A组选修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MASE20001</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A组选修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要求修读45学分（部分课程学分可用荣誉课程学分替换），课程设置如下：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化工原理</w:t>
            </w:r>
            <w:r>
              <w:br/>
            </w:r>
            <w:r>
              <w:br/>
            </w:r>
            <w:r>
              <w:rPr>
                <w:rFonts w:ascii="SimSun" w:hAnsi="SimSun"/>
                <w:b w:val="false"/>
                <w:i w:val="false"/>
                <w:color w:val="000000"/>
                <w:sz w:val="21"/>
              </w:rPr>
              <w:t>Principles of Chemical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多元发展包括专业进阶（含荣誉项目）、跨学科发展（含辅修学士学位项目）和创新创业等不同路径，学生可基于个性化成长需求，选择1条发展路径，按路径要求修读课程。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模块课程或荣誉课程中修读至少24学分（其中专业进阶I修读15学分，专业进阶II至少修读9学分）。此路径为本专业领域核心路径。完成专业进阶路径修读要求的学生，可以向高分子科学系申请推免直研资格。
       </w:t>
      </w:r>
      <w:r>
        <w:br/>
      </w:r>
      <w:r>
        <w:rPr>
          <w:rFonts w:ascii="SimSun" w:hAnsi="SimSun"/>
          <w:b w:val="false"/>
          <w:i w:val="false"/>
          <w:color w:val="000000"/>
          <w:sz w:val="21"/>
        </w:rPr>
        <w:t xml:space="preserve">
       </w:t>
      </w:r>
      <w:r>
        <w:br/>
      </w:r>
      <w:r>
        <w:rPr>
          <w:rFonts w:ascii="SimSun" w:hAnsi="SimSun"/>
          <w:b w:val="false"/>
          <w:i w:val="false"/>
          <w:color w:val="000000"/>
          <w:sz w:val="21"/>
        </w:rPr>
        <w:t xml:space="preserve">    专业进阶模块课程设置如下：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模块课程或荣誉课程中修读至少24学分（其中专业进阶I修读15学分，专业进阶II至少修读9学分）。此路径为本专业领域核心路径。完成专业进阶路径修读要求的学生，可以向高分子科学系申请推免直研资格。
       </w:t>
      </w:r>
      <w:r>
        <w:br/>
      </w:r>
      <w:r>
        <w:rPr>
          <w:rFonts w:ascii="SimSun" w:hAnsi="SimSun"/>
          <w:b w:val="false"/>
          <w:i w:val="false"/>
          <w:color w:val="000000"/>
          <w:sz w:val="21"/>
        </w:rPr>
        <w:t xml:space="preserve">
       </w:t>
      </w:r>
      <w:r>
        <w:br/>
      </w:r>
      <w:r>
        <w:rPr>
          <w:rFonts w:ascii="SimSun" w:hAnsi="SimSun"/>
          <w:b w:val="false"/>
          <w:i w:val="false"/>
          <w:color w:val="000000"/>
          <w:sz w:val="21"/>
        </w:rPr>
        <w:t xml:space="preserve">    专业进阶模块课程设置如下：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高分子建模与设计</w:t>
            </w:r>
            <w:r>
              <w:br/>
            </w:r>
            <w:r>
              <w:br/>
            </w:r>
            <w:r>
              <w:rPr>
                <w:rFonts w:ascii="SimSun" w:hAnsi="SimSun"/>
                <w:b w:val="false"/>
                <w:i w:val="false"/>
                <w:color w:val="000000"/>
                <w:sz w:val="21"/>
              </w:rPr>
              <w:t>Model and Design of Macromolecules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学术伦理、科技写作与科技沟通</w:t>
            </w:r>
            <w:r>
              <w:br/>
            </w:r>
            <w:r>
              <w:br/>
            </w:r>
            <w:r>
              <w:rPr>
                <w:rFonts w:ascii="SimSun" w:hAnsi="SimSun"/>
                <w:b w:val="false"/>
                <w:i w:val="false"/>
                <w:color w:val="000000"/>
                <w:sz w:val="21"/>
              </w:rPr>
              <w:t>Academic Ethics, Writing and Communication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高分子结构材料</w:t>
            </w:r>
            <w:r>
              <w:br/>
            </w:r>
            <w:r>
              <w:br/>
            </w:r>
            <w:r>
              <w:rPr>
                <w:rFonts w:ascii="SimSun" w:hAnsi="SimSun"/>
                <w:b w:val="false"/>
                <w:i w:val="false"/>
                <w:color w:val="000000"/>
                <w:sz w:val="21"/>
              </w:rPr>
              <w:t>Polymeric Structural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高分子功能材料</w:t>
            </w:r>
            <w:r>
              <w:br/>
            </w:r>
            <w:r>
              <w:br/>
            </w:r>
            <w:r>
              <w:rPr>
                <w:rFonts w:ascii="SimSun" w:hAnsi="SimSun"/>
                <w:b w:val="false"/>
                <w:i w:val="false"/>
                <w:color w:val="000000"/>
                <w:sz w:val="21"/>
              </w:rPr>
              <w:t>Polymer Functional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高分子加工原理</w:t>
            </w:r>
            <w:r>
              <w:br/>
            </w:r>
            <w:r>
              <w:br/>
            </w:r>
            <w:r>
              <w:rPr>
                <w:rFonts w:ascii="SimSun" w:hAnsi="SimSun"/>
                <w:b w:val="false"/>
                <w:i w:val="false"/>
                <w:color w:val="000000"/>
                <w:sz w:val="21"/>
              </w:rPr>
              <w:t>Principles of Polymer Processing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MASE50007</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人工智能赋能高分子科学</w:t>
            </w:r>
            <w:r>
              <w:br/>
            </w:r>
            <w:r>
              <w:br/>
            </w:r>
            <w:r>
              <w:rPr>
                <w:rFonts w:ascii="SimSun" w:hAnsi="SimSun"/>
                <w:b w:val="false"/>
                <w:i w:val="false"/>
                <w:color w:val="000000"/>
                <w:sz w:val="21"/>
              </w:rPr>
              <w:t>AI for Polymer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人工智能在分析化学中的应用</w:t>
            </w:r>
            <w:r>
              <w:br/>
            </w:r>
            <w:r>
              <w:br/>
            </w:r>
            <w:r>
              <w:rPr>
                <w:rFonts w:ascii="SimSun" w:hAnsi="SimSun"/>
                <w:b w:val="false"/>
                <w:i w:val="false"/>
                <w:color w:val="000000"/>
                <w:sz w:val="21"/>
              </w:rPr>
              <w:t>Application of artificial intelligence （AI） in analytical chemistry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荣誉项目课程设置和修读要求请见高分子科学系本科“荣誉项目”实施方案。下载地址：https://jwc.fudan.edu.cn/（复旦大学教务处）专业培养-常用文档。荣誉项目路径优先获得高分子科学系推免资格。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荣誉项目课程组</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53"/>
        <w:gridCol w:w="787"/>
        <w:gridCol w:w="787"/>
        <w:gridCol w:w="1103"/>
        <w:gridCol w:w="1970"/>
        <w:gridCol w:w="788"/>
        <w:gridCol w:w="788"/>
        <w:gridCol w:w="788"/>
        <w:gridCol w:w="788"/>
        <w:gridCol w:w="1104"/>
        <w:gridCol w:w="1578"/>
      </w:tblGrid>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高分子化学A(H)</w:t>
            </w:r>
            <w:r>
              <w:br/>
            </w:r>
            <w:r>
              <w:br/>
            </w:r>
            <w:r>
              <w:rPr>
                <w:rFonts w:ascii="SimSun" w:hAnsi="SimSun"/>
                <w:b w:val="false"/>
                <w:i w:val="false"/>
                <w:color w:val="000000"/>
                <w:sz w:val="21"/>
              </w:rPr>
              <w:t>Polymer Chemistry A(H)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高分子物理(H)</w:t>
            </w:r>
            <w:r>
              <w:br/>
            </w:r>
            <w:r>
              <w:br/>
            </w:r>
            <w:r>
              <w:rPr>
                <w:rFonts w:ascii="SimSun" w:hAnsi="SimSun"/>
                <w:b w:val="false"/>
                <w:i w:val="false"/>
                <w:color w:val="000000"/>
                <w:sz w:val="21"/>
              </w:rPr>
              <w:t>Polymer Physics(H)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高分子实验(H)</w:t>
            </w:r>
            <w:r>
              <w:br/>
            </w:r>
            <w:r>
              <w:br/>
            </w:r>
            <w:r>
              <w:rPr>
                <w:rFonts w:ascii="SimSun" w:hAnsi="SimSun"/>
                <w:b w:val="false"/>
                <w:i w:val="false"/>
                <w:color w:val="000000"/>
                <w:sz w:val="21"/>
              </w:rPr>
              <w:t>Polymer Experiments(H)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MASE30006h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 II(H)</w:t>
            </w:r>
            <w:r>
              <w:br/>
            </w:r>
            <w:r>
              <w:br/>
            </w:r>
            <w:r>
              <w:rPr>
                <w:rFonts w:ascii="SimSun" w:hAnsi="SimSun"/>
                <w:b w:val="false"/>
                <w:i w:val="false"/>
                <w:color w:val="000000"/>
                <w:sz w:val="21"/>
              </w:rPr>
              <w:t>Physical Chemistry A II(H)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 III(H)</w:t>
            </w:r>
            <w:r>
              <w:br/>
            </w:r>
            <w:r>
              <w:br/>
            </w:r>
            <w:r>
              <w:rPr>
                <w:rFonts w:ascii="SimSun" w:hAnsi="SimSun"/>
                <w:b w:val="false"/>
                <w:i w:val="false"/>
                <w:color w:val="000000"/>
                <w:sz w:val="21"/>
              </w:rPr>
              <w:t>Physical Chemistry A III(H)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 (H)</w:t>
            </w:r>
            <w:r>
              <w:br/>
            </w:r>
            <w:r>
              <w:br/>
            </w:r>
            <w:r>
              <w:rPr>
                <w:rFonts w:ascii="SimSun" w:hAnsi="SimSun"/>
                <w:b w:val="false"/>
                <w:i w:val="false"/>
                <w:color w:val="000000"/>
                <w:sz w:val="21"/>
              </w:rPr>
              <w:t>Organic Chemistry A II (H)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高分子反应工程(H)</w:t>
            </w:r>
            <w:r>
              <w:br/>
            </w:r>
            <w:r>
              <w:br/>
            </w:r>
            <w:r>
              <w:rPr>
                <w:rFonts w:ascii="SimSun" w:hAnsi="SimSun"/>
                <w:b w:val="false"/>
                <w:i w:val="false"/>
                <w:color w:val="000000"/>
                <w:sz w:val="21"/>
              </w:rPr>
              <w:t>Polymer Reaction Engineering(H)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热力学与统计物理I(H)</w:t>
            </w:r>
            <w:r>
              <w:br/>
            </w:r>
            <w:r>
              <w:br/>
            </w:r>
            <w:r>
              <w:rPr>
                <w:rFonts w:ascii="SimSun" w:hAnsi="SimSun"/>
                <w:b w:val="false"/>
                <w:i w:val="false"/>
                <w:color w:val="000000"/>
                <w:sz w:val="21"/>
              </w:rPr>
              <w:t>Thermodynamics and Statistical Physics I(H)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PHYS130007h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数学物理方法A(H)</w:t>
            </w:r>
            <w:r>
              <w:br/>
            </w:r>
            <w:r>
              <w:br/>
            </w:r>
            <w:r>
              <w:rPr>
                <w:rFonts w:ascii="SimSun" w:hAnsi="SimSun"/>
                <w:b w:val="false"/>
                <w:i w:val="false"/>
                <w:color w:val="000000"/>
                <w:sz w:val="21"/>
              </w:rPr>
              <w:t>Methods of Mathematical Physics A(H)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生物化学(H)</w:t>
            </w:r>
            <w:r>
              <w:br/>
            </w:r>
            <w:r>
              <w:br/>
            </w:r>
            <w:r>
              <w:rPr>
                <w:rFonts w:ascii="SimSun" w:hAnsi="SimSun"/>
                <w:b w:val="false"/>
                <w:i w:val="false"/>
                <w:color w:val="000000"/>
                <w:sz w:val="21"/>
              </w:rPr>
              <w:t>Biochemistry (H)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BIOL30024h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高等高分子化学(H)</w:t>
            </w:r>
            <w:r>
              <w:br/>
            </w:r>
            <w:r>
              <w:br/>
            </w:r>
            <w:r>
              <w:rPr>
                <w:rFonts w:ascii="SimSun" w:hAnsi="SimSun"/>
                <w:b w:val="false"/>
                <w:i w:val="false"/>
                <w:color w:val="000000"/>
                <w:sz w:val="21"/>
              </w:rPr>
              <w:t>Advanced Polymer Chemistry(H)</w:t>
            </w:r>
          </w:p>
        </w:tc>
        <w:tc>
          <w:tcPr>
            <w:tcW w:w="78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MASE60001h</w:t>
            </w:r>
          </w:p>
        </w:tc>
        <w:tc>
          <w:tcPr>
            <w:tcW w:w="7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可选两种路径：①要求修读专业进阶I（15学分）课程以及1个非本专业独立开设的完整学程，若学分不足，可用任意选修补足。②要求修读2个非本专业独立开设的完整学程，可选择专业学程或跨学科学程，若学分不足，可用任意选修学分补足。
       </w:t>
      </w:r>
      <w:r>
        <w:br/>
      </w:r>
      <w:r>
        <w:rPr>
          <w:rFonts w:ascii="SimSun" w:hAnsi="SimSun"/>
          <w:b w:val="false"/>
          <w:i w:val="false"/>
          <w:color w:val="000000"/>
          <w:sz w:val="21"/>
        </w:rPr>
        <w:t xml:space="preserve">
       </w:t>
      </w:r>
      <w:r>
        <w:br/>
      </w:r>
      <w:r>
        <w:rPr>
          <w:rFonts w:ascii="SimSun" w:hAnsi="SimSun"/>
          <w:b w:val="false"/>
          <w:i w:val="false"/>
          <w:color w:val="000000"/>
          <w:sz w:val="21"/>
        </w:rPr>
        <w:t xml:space="preserve">    保研条件：完成跨学科发展路径①，需修读1个自然科学类学程，才可以向高分子科学系申请推免直研资格。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完成创新创业路径的学生，不能向高分子科学系申请推免直研资格，高分子科学系不为其提供专业排名。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要求至少修读本专业进阶模块I（15学分）和1个辅修学士学位项目，辅修学士学位应与主修学士学位归属不同的本科专业大类。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在主修专业的学士学位证书中获得相应辅修学士学位注记。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完成辅修学士学位路径的学生，辅修专业为自然科学大类的，可以向高分子科学系申请推免直研资格。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选择多元发展课程模块和学程时，专业进阶课程模块和辅修学士学位项目可以冲抵学程，专业培养和多元发展路径共享的课程只计算一次学分。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合成化学实验(上)</w:t>
            </w:r>
            <w:r>
              <w:br/>
            </w:r>
            <w:r>
              <w:br/>
            </w:r>
            <w:r>
              <w:rPr>
                <w:rFonts w:ascii="SimSun" w:hAnsi="SimSun"/>
                <w:b w:val="false"/>
                <w:i w:val="false"/>
                <w:color w:val="000000"/>
                <w:sz w:val="21"/>
              </w:rPr>
              <w:t>Experiments in Synthetic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合成化学实验(下)</w:t>
            </w:r>
            <w:r>
              <w:br/>
            </w:r>
            <w:r>
              <w:br/>
            </w:r>
            <w:r>
              <w:rPr>
                <w:rFonts w:ascii="SimSun" w:hAnsi="SimSun"/>
                <w:b w:val="false"/>
                <w:i w:val="false"/>
                <w:color w:val="000000"/>
                <w:sz w:val="21"/>
              </w:rPr>
              <w:t>Experiments in Synthetic Chemistry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物理化学实验（上）</w:t>
            </w:r>
            <w:r>
              <w:br/>
            </w:r>
            <w:r>
              <w:br/>
            </w:r>
            <w:r>
              <w:rPr>
                <w:rFonts w:ascii="SimSun" w:hAnsi="SimSun"/>
                <w:b w:val="false"/>
                <w:i w:val="false"/>
                <w:color w:val="000000"/>
                <w:sz w:val="21"/>
              </w:rPr>
              <w:t>Physical Chemistry Experiments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物理化学实验（下）</w:t>
            </w:r>
            <w:r>
              <w:br/>
            </w:r>
            <w:r>
              <w:br/>
            </w:r>
            <w:r>
              <w:rPr>
                <w:rFonts w:ascii="SimSun" w:hAnsi="SimSun"/>
                <w:b w:val="false"/>
                <w:i w:val="false"/>
                <w:color w:val="000000"/>
                <w:sz w:val="21"/>
              </w:rPr>
              <w:t>Physical Chemistry Experiments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高分子实验</w:t>
            </w:r>
            <w:r>
              <w:br/>
            </w:r>
            <w:r>
              <w:br/>
            </w:r>
            <w:r>
              <w:rPr>
                <w:rFonts w:ascii="SimSun" w:hAnsi="SimSun"/>
                <w:b w:val="false"/>
                <w:i w:val="false"/>
                <w:color w:val="000000"/>
                <w:sz w:val="21"/>
              </w:rPr>
              <w:t>Polymer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高分子学术前沿讲座</w:t>
            </w:r>
            <w:r>
              <w:br/>
            </w:r>
            <w:r>
              <w:br/>
            </w:r>
            <w:r>
              <w:rPr>
                <w:rFonts w:ascii="SimSun" w:hAnsi="SimSun"/>
                <w:b w:val="false"/>
                <w:i w:val="false"/>
                <w:color w:val="000000"/>
                <w:sz w:val="21"/>
              </w:rPr>
              <w:t>Lectures on Latest in Polymer Science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Training in Scientific Research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Undergraduate Thesis Course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Production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