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2025市场营销专业本科培养方案（港澳台侨生适用）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市场营销学系成立于1999年，其前身可追溯至20世纪80年代恢复的市场营销教学与研究。作为国内首批对标国际商学院模式设立的市场营销专业，该系致力于培养兼具全球视野与中国市场实践能力的复合型人才。本专业以“宽口径、厚基础、重能力、求创新”为原则，培养掌握管理学、经济学与市场营销理论，具备市场调研、营销策划、数字营销等实践能力的专业人才。根据2024年专业排名，复旦大学市场营销专业稳居全国前三，毕业生就业竞争力连续多年位列国内高校前列。</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具备管理、经济、法律和市场营销等方面的知识和能力，能在工商企业、金融机构、事业单位及政府部门从事市场分析、营销策划、品牌管理工作的市场营销学科高级专门人才。</w:t>
      </w:r>
      <w:r>
        <w:br/>
      </w:r>
      <w:r>
        <w:br/>
      </w:r>
      <w:r>
        <w:rPr>
          <w:rFonts w:ascii="SimSun" w:hAnsi="SimSun"/>
          <w:b w:val="false"/>
          <w:i w:val="false"/>
          <w:color w:val="000000"/>
          <w:sz w:val="21"/>
        </w:rPr>
        <w:t xml:space="preserve">      本专业要求学生掌握管理学、经济学和市场营销学的基本理论和基础知识；掌握市场调研、消费者行为分析的定性定量方法；具备敏锐的市场洞察力、创新的营销策划能力和高效的营销执行能力；熟悉国内外市场营销的法规政策与行业规范；熟练掌握一门外语及现代信息技术工具，具有独立解决实际营销问题的综合素质。</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30133" cy="1286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30133" cy="12869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2726267" cy="1049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726267" cy="10498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 专业进阶路径：110学分                                                          </w:t>
      </w:r>
    </w:p>
    <w:p>
      <w:pPr>
        <w:spacing w:after="0"/>
        <w:ind w:left="0"/>
        <w:jc w:val="left"/>
      </w:pPr>
      <w:r>
        <w:rPr>
          <w:rFonts w:ascii="SimSun" w:hAnsi="SimSun"/>
          <w:b w:val="false"/>
          <w:i w:val="false"/>
          <w:color w:val="000000"/>
          <w:sz w:val="21"/>
        </w:rPr>
        <w:t xml:space="preserve">      本路径学生需要完成110学分（含实践学分不低于17学分；含美育学分不少于2学分，其中至少在“美学和艺术史论类”或“艺术鉴赏和评论类”课程中修读1学分，并至少参与一项艺术实践活动；劳动教育不少于32学时，并满足劳动周教育要求），包括通识教育课程15学分、专业培养课程64学分、专业进阶模块I修读24学分、融合创新能力模块7学分。                                                                  </w:t>
      </w:r>
    </w:p>
    <w:p>
      <w:pPr>
        <w:spacing w:after="0"/>
        <w:ind w:left="0"/>
        <w:jc w:val="left"/>
      </w:pPr>
      <w:r>
        <w:rPr>
          <w:rFonts w:ascii="SimSun" w:hAnsi="SimSun"/>
          <w:b w:val="false"/>
          <w:i w:val="false"/>
          <w:color w:val="000000"/>
          <w:sz w:val="21"/>
        </w:rPr>
        <w:t xml:space="preserve">2、 本科荣誉项目：111学分                                                               </w:t>
      </w:r>
    </w:p>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 xml:space="preserve">3、 跨学科学发展路径：110学分                                                                   </w:t>
      </w:r>
    </w:p>
    <w:p>
      <w:pPr>
        <w:spacing w:after="0"/>
        <w:ind w:left="0"/>
        <w:jc w:val="left"/>
      </w:pP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val="false"/>
          <w:i w:val="false"/>
          <w:color w:val="000000"/>
          <w:sz w:val="21"/>
        </w:rPr>
        <w:t xml:space="preserve">4、市场营销+AI双学士学位项目：139学分                                                                  </w:t>
      </w:r>
    </w:p>
    <w:p>
      <w:pPr>
        <w:spacing w:after="0"/>
        <w:ind w:left="0"/>
        <w:jc w:val="left"/>
      </w:pPr>
      <w:r>
        <w:rPr>
          <w:rFonts w:ascii="SimSun" w:hAnsi="SimSun"/>
          <w:b w:val="false"/>
          <w:i w:val="false"/>
          <w:color w:val="000000"/>
          <w:sz w:val="21"/>
        </w:rPr>
        <w:t xml:space="preserve">详见本项目培养方案。下载地址：https://jwc.fudan.edu.cn（复旦大学教务处）专业培养-常用文档-X+AI双学位项目方案。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4年级结束时，如达到学士学位要求者理授予管理学学士学位。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spacing w:after="0"/>
        <w:ind w:left="0"/>
        <w:jc w:val="left"/>
      </w:pPr>
      <w:r>
        <w:rPr>
          <w:rFonts w:ascii="SimSun" w:hAnsi="SimSun"/>
          <w:b w:val="false"/>
          <w:i w:val="false"/>
          <w:color w:val="000000"/>
          <w:sz w:val="21"/>
        </w:rPr>
        <w:t xml:space="preserve">（3）在此基础上，达到管理学院“本科荣誉证书”获得条件的授予“本科荣誉证书”，具体要求请见管理学院“本科荣誉项目”实施方案。                                                                </w:t>
      </w:r>
    </w:p>
    <w:p>
      <w:pPr>
        <w:spacing w:after="0"/>
        <w:ind w:left="0"/>
        <w:jc w:val="left"/>
      </w:pPr>
      <w:r>
        <w:rPr>
          <w:rFonts w:ascii="SimSun" w:hAnsi="SimSun"/>
          <w:b w:val="false"/>
          <w:i w:val="false"/>
          <w:color w:val="000000"/>
          <w:sz w:val="21"/>
        </w:rPr>
        <w:t>2. 市场营销+AI学士双学位项目，如达到此双学士学位要求者授予管理学-工学双学士学位。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013200" cy="1727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13200" cy="1727200"/>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七大模块8学分。七大模块8学分中每模块最多修读1门课，回避第四模块“社会研究与当代中国”，即修读第四模块课程将不计入七大模块学分中, 以及国家安全教育1学分）；II类通识专项教育课程，修满16学分,并且“人工智能教学专项”修读B1类课程（面向理工医类），不能修读B2类课程（面向文科类）。课程设置详见核心课程七大模块。
       </w:t>
      </w:r>
      <w:r>
        <w:br/>
      </w:r>
      <w:r>
        <w:rPr>
          <w:rFonts w:ascii="SimSun" w:hAnsi="SimSun"/>
          <w:b w:val="false"/>
          <w:i w:val="false"/>
          <w:color w:val="000000"/>
          <w:sz w:val="21"/>
        </w:rPr>
        <w:t xml:space="preserve">
       </w:t>
      </w:r>
      <w:r>
        <w:br/>
      </w:r>
      <w:r>
        <w:rPr>
          <w:rFonts w:ascii="SimSun" w:hAnsi="SimSun"/>
          <w:b w:val="false"/>
          <w:i w:val="false"/>
          <w:color w:val="000000"/>
          <w:sz w:val="21"/>
        </w:rPr>
        <w:t xml:space="preserve">留学生和港澳台侨学生的通识教育课程修读要求，以及留学生的水平测试要求，参见“留学生、港澳台侨学生修读说明”。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学生应在大类基础课程中修满25学分，必修管理学院开设的课程。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商业与技术伦理学</w:t>
            </w:r>
            <w:r>
              <w:br/>
            </w:r>
            <w:r>
              <w:br/>
            </w:r>
            <w:r>
              <w:rPr>
                <w:rFonts w:ascii="SimSun" w:hAnsi="SimSun"/>
                <w:b w:val="false"/>
                <w:i w:val="false"/>
                <w:color w:val="000000"/>
                <w:sz w:val="21"/>
              </w:rPr>
              <w:t>Business and Technology Ethics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w:t>
            </w:r>
            <w:r>
              <w:br/>
            </w:r>
            <w:r>
              <w:br/>
            </w:r>
            <w:r>
              <w:rPr>
                <w:rFonts w:ascii="SimSun" w:hAnsi="SimSun"/>
                <w:b w:val="false"/>
                <w:i w:val="false"/>
                <w:color w:val="000000"/>
                <w:sz w:val="21"/>
              </w:rPr>
              <w:t>Statistical Software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B组 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数字化营销</w:t>
            </w:r>
            <w:r>
              <w:br/>
            </w:r>
            <w:r>
              <w:br/>
            </w:r>
            <w:r>
              <w:rPr>
                <w:rFonts w:ascii="SimSun" w:hAnsi="SimSun"/>
                <w:b w:val="false"/>
                <w:i w:val="false"/>
                <w:color w:val="000000"/>
                <w:sz w:val="21"/>
              </w:rPr>
              <w:t>Digital Marketing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职业规划与发展</w:t>
            </w:r>
            <w:r>
              <w:br/>
            </w:r>
            <w:r>
              <w:br/>
            </w:r>
            <w:r>
              <w:rPr>
                <w:rFonts w:ascii="SimSun" w:hAnsi="SimSun"/>
                <w:b w:val="false"/>
                <w:i w:val="false"/>
                <w:color w:val="000000"/>
                <w:sz w:val="21"/>
              </w:rPr>
              <w:t>Career Planning and Development</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要求在本专业专业进阶模块修读进阶I 15学分,进阶II 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A组（6门选3门）</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至少修读8学分。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以下课程任选，至少修读7学分。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会计学专业必修课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成本管理会计</w:t>
            </w:r>
            <w:r>
              <w:br/>
            </w:r>
            <w:r>
              <w:br/>
            </w:r>
            <w:r>
              <w:rPr>
                <w:rFonts w:ascii="SimSun" w:hAnsi="SimSun"/>
                <w:b w:val="false"/>
                <w:i w:val="false"/>
                <w:color w:val="000000"/>
                <w:sz w:val="21"/>
              </w:rPr>
              <w:t>Cost and Management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财务报告</w:t>
            </w:r>
            <w:r>
              <w:br/>
            </w:r>
            <w:r>
              <w:br/>
            </w:r>
            <w:r>
              <w:rPr>
                <w:rFonts w:ascii="SimSun" w:hAnsi="SimSun"/>
                <w:b w:val="false"/>
                <w:i w:val="false"/>
                <w:color w:val="000000"/>
                <w:sz w:val="21"/>
              </w:rPr>
              <w:t>Financial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审计学</w:t>
            </w:r>
            <w:r>
              <w:br/>
            </w:r>
            <w:r>
              <w:br/>
            </w:r>
            <w:r>
              <w:rPr>
                <w:rFonts w:ascii="SimSun" w:hAnsi="SimSun"/>
                <w:b w:val="false"/>
                <w:i w:val="false"/>
                <w:color w:val="000000"/>
                <w:sz w:val="21"/>
              </w:rPr>
              <w:t>Auditing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高级财务会计</w:t>
            </w:r>
            <w:r>
              <w:br/>
            </w:r>
            <w:r>
              <w:br/>
            </w:r>
            <w:r>
              <w:rPr>
                <w:rFonts w:ascii="SimSun" w:hAnsi="SimSun"/>
                <w:b w:val="false"/>
                <w:i w:val="false"/>
                <w:color w:val="000000"/>
                <w:sz w:val="21"/>
              </w:rPr>
              <w:t>Advanced Financial Accounting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管理科学专业必修课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机器学习与商务智能</w:t>
            </w:r>
            <w:r>
              <w:br/>
            </w:r>
            <w:r>
              <w:br/>
            </w:r>
            <w:r>
              <w:rPr>
                <w:rFonts w:ascii="SimSun" w:hAnsi="SimSun"/>
                <w:b w:val="false"/>
                <w:i w:val="false"/>
                <w:color w:val="000000"/>
                <w:sz w:val="21"/>
              </w:rPr>
              <w:t>Machine Learning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随机运筹学</w:t>
            </w:r>
            <w:r>
              <w:br/>
            </w:r>
            <w:r>
              <w:br/>
            </w:r>
            <w:r>
              <w:rPr>
                <w:rFonts w:ascii="SimSun" w:hAnsi="SimSun"/>
                <w:b w:val="false"/>
                <w:i w:val="false"/>
                <w:color w:val="000000"/>
                <w:sz w:val="21"/>
              </w:rPr>
              <w:t>Stochastic Operations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最优化方法及应用</w:t>
            </w:r>
            <w:r>
              <w:br/>
            </w:r>
            <w:r>
              <w:br/>
            </w:r>
            <w:r>
              <w:rPr>
                <w:rFonts w:ascii="SimSun" w:hAnsi="SimSun"/>
                <w:b w:val="false"/>
                <w:i w:val="false"/>
                <w:color w:val="000000"/>
                <w:sz w:val="21"/>
              </w:rPr>
              <w:t>Optimization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w:t>
            </w:r>
            <w:r>
              <w:br/>
            </w:r>
            <w:r>
              <w:br/>
            </w:r>
            <w:r>
              <w:rPr>
                <w:rFonts w:ascii="SimSun" w:hAnsi="SimSun"/>
                <w:b w:val="false"/>
                <w:i w:val="false"/>
                <w:color w:val="000000"/>
                <w:sz w:val="21"/>
              </w:rPr>
              <w:t>Financial Engineering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工商管理专业必修课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创新与创业</w:t>
            </w:r>
            <w:r>
              <w:br/>
            </w:r>
            <w:r>
              <w:br/>
            </w:r>
            <w:r>
              <w:rPr>
                <w:rFonts w:ascii="SimSun" w:hAnsi="SimSun"/>
                <w:b w:val="false"/>
                <w:i w:val="false"/>
                <w:color w:val="000000"/>
                <w:sz w:val="21"/>
              </w:rPr>
              <w:t>Innovation and Entrepreneurship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w:t>
            </w:r>
            <w:r>
              <w:br/>
            </w:r>
            <w:r>
              <w:br/>
            </w:r>
            <w:r>
              <w:rPr>
                <w:rFonts w:ascii="SimSun" w:hAnsi="SimSun"/>
                <w:b w:val="false"/>
                <w:i w:val="false"/>
                <w:color w:val="000000"/>
                <w:sz w:val="21"/>
              </w:rPr>
              <w:t>Human Resources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东方管理</w:t>
            </w:r>
            <w:r>
              <w:br/>
            </w:r>
            <w:r>
              <w:br/>
            </w:r>
            <w:r>
              <w:rPr>
                <w:rFonts w:ascii="SimSun" w:hAnsi="SimSun"/>
                <w:b w:val="false"/>
                <w:i w:val="false"/>
                <w:color w:val="000000"/>
                <w:sz w:val="21"/>
              </w:rPr>
              <w:t>Oriental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管理学研究方法</w:t>
            </w:r>
            <w:r>
              <w:br/>
            </w:r>
            <w:r>
              <w:br/>
            </w:r>
            <w:r>
              <w:rPr>
                <w:rFonts w:ascii="SimSun" w:hAnsi="SimSun"/>
                <w:b w:val="false"/>
                <w:i w:val="false"/>
                <w:color w:val="000000"/>
                <w:sz w:val="21"/>
              </w:rPr>
              <w:t>Research Methods in Management Research</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信息管理与信息系统专业必修课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数据库与企业数据管理</w:t>
            </w:r>
            <w:r>
              <w:br/>
            </w:r>
            <w:r>
              <w:br/>
            </w:r>
            <w:r>
              <w:rPr>
                <w:rFonts w:ascii="SimSun" w:hAnsi="SimSun"/>
                <w:b w:val="false"/>
                <w:i w:val="false"/>
                <w:color w:val="000000"/>
                <w:sz w:val="21"/>
              </w:rPr>
              <w:t>Database and Enterprise Data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系统分析与设计</w:t>
            </w:r>
            <w:r>
              <w:br/>
            </w:r>
            <w:r>
              <w:br/>
            </w:r>
            <w:r>
              <w:rPr>
                <w:rFonts w:ascii="SimSun" w:hAnsi="SimSun"/>
                <w:b w:val="false"/>
                <w:i w:val="false"/>
                <w:color w:val="000000"/>
                <w:sz w:val="21"/>
              </w:rPr>
              <w:t>System Analysis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大数据商务分析与应用</w:t>
            </w:r>
            <w:r>
              <w:br/>
            </w:r>
            <w:r>
              <w:br/>
            </w:r>
            <w:r>
              <w:rPr>
                <w:rFonts w:ascii="SimSun" w:hAnsi="SimSun"/>
                <w:b w:val="false"/>
                <w:i w:val="false"/>
                <w:color w:val="000000"/>
                <w:sz w:val="21"/>
              </w:rPr>
              <w:t>Big Data driven Business Analytics and Application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财务管理专业必修课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统计学专业必修课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抽样调查</w:t>
            </w:r>
            <w:r>
              <w:br/>
            </w:r>
            <w:r>
              <w:br/>
            </w:r>
            <w:r>
              <w:rPr>
                <w:rFonts w:ascii="SimSun" w:hAnsi="SimSun"/>
                <w:b w:val="false"/>
                <w:i w:val="false"/>
                <w:color w:val="000000"/>
                <w:sz w:val="21"/>
              </w:rPr>
              <w:t>Sampling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多元分析</w:t>
            </w:r>
            <w:r>
              <w:br/>
            </w:r>
            <w:r>
              <w:br/>
            </w:r>
            <w:r>
              <w:rPr>
                <w:rFonts w:ascii="SimSun" w:hAnsi="SimSun"/>
                <w:b w:val="false"/>
                <w:i w:val="false"/>
                <w:color w:val="000000"/>
                <w:sz w:val="21"/>
              </w:rPr>
              <w:t>Applied Multivariate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机器学习导论</w:t>
            </w:r>
            <w:r>
              <w:br/>
            </w:r>
            <w:r>
              <w:br/>
            </w:r>
            <w:r>
              <w:rPr>
                <w:rFonts w:ascii="SimSun" w:hAnsi="SimSun"/>
                <w:b w:val="false"/>
                <w:i w:val="false"/>
                <w:color w:val="000000"/>
                <w:sz w:val="21"/>
              </w:rPr>
              <w:t>Introduction to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非参数统计</w:t>
            </w:r>
            <w:r>
              <w:br/>
            </w:r>
            <w:r>
              <w:br/>
            </w:r>
            <w:r>
              <w:rPr>
                <w:rFonts w:ascii="SimSun" w:hAnsi="SimSun"/>
                <w:b w:val="false"/>
                <w:i w:val="false"/>
                <w:color w:val="000000"/>
                <w:sz w:val="21"/>
              </w:rPr>
              <w:t>Nonparametric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属性数据分析</w:t>
            </w:r>
            <w:r>
              <w:br/>
            </w:r>
            <w:r>
              <w:br/>
            </w:r>
            <w:r>
              <w:rPr>
                <w:rFonts w:ascii="SimSun" w:hAnsi="SimSun"/>
                <w:b w:val="false"/>
                <w:i w:val="false"/>
                <w:color w:val="000000"/>
                <w:sz w:val="21"/>
              </w:rPr>
              <w:t>Categorical Data Analysis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进阶II一共需修读9学分，其中A组至少修读6学分，B组和C组一共修读0-3学分。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A组（4门选3门）</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计量经济学（H）</w:t>
            </w:r>
            <w:r>
              <w:br/>
            </w:r>
            <w:r>
              <w:br/>
            </w:r>
            <w:r>
              <w:rPr>
                <w:rFonts w:ascii="SimSun" w:hAnsi="SimSun"/>
                <w:b w:val="false"/>
                <w:i w:val="false"/>
                <w:color w:val="000000"/>
                <w:sz w:val="21"/>
              </w:rPr>
              <w:t>Econometrics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高级微观经济学（H）</w:t>
            </w:r>
            <w:r>
              <w:br/>
            </w:r>
            <w:r>
              <w:br/>
            </w:r>
            <w:r>
              <w:rPr>
                <w:rFonts w:ascii="SimSun" w:hAnsi="SimSun"/>
                <w:b w:val="false"/>
                <w:i w:val="false"/>
                <w:color w:val="000000"/>
                <w:sz w:val="21"/>
              </w:rPr>
              <w:t>Advanced Microeconomics(H)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ECON30167h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现代企业理论（H）</w:t>
            </w:r>
            <w:r>
              <w:br/>
            </w:r>
            <w:r>
              <w:br/>
            </w:r>
            <w:r>
              <w:rPr>
                <w:rFonts w:ascii="SimSun" w:hAnsi="SimSun"/>
                <w:b w:val="false"/>
                <w:i w:val="false"/>
                <w:color w:val="000000"/>
                <w:sz w:val="21"/>
              </w:rPr>
              <w:t>The Theory of the Modern Firm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智能仿真与在线学习</w:t>
            </w:r>
            <w:r>
              <w:br/>
            </w:r>
            <w:r>
              <w:br/>
            </w:r>
            <w:r>
              <w:rPr>
                <w:rFonts w:ascii="SimSun" w:hAnsi="SimSun"/>
                <w:b w:val="false"/>
                <w:i w:val="false"/>
                <w:color w:val="000000"/>
                <w:sz w:val="21"/>
              </w:rPr>
              <w:t>Intelligent Simulation and Online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高等概率论</w:t>
            </w:r>
            <w:r>
              <w:br/>
            </w:r>
            <w:r>
              <w:br/>
            </w:r>
            <w:r>
              <w:rPr>
                <w:rFonts w:ascii="SimSun" w:hAnsi="SimSun"/>
                <w:b w:val="false"/>
                <w:i w:val="false"/>
                <w:color w:val="000000"/>
                <w:sz w:val="21"/>
              </w:rPr>
              <w:t>Advanced Probability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高等数理统计（一）</w:t>
            </w:r>
            <w:r>
              <w:br/>
            </w:r>
            <w:r>
              <w:br/>
            </w:r>
            <w:r>
              <w:rPr>
                <w:rFonts w:ascii="SimSun" w:hAnsi="SimSun"/>
                <w:b w:val="false"/>
                <w:i w:val="false"/>
                <w:color w:val="000000"/>
                <w:sz w:val="21"/>
              </w:rPr>
              <w:t>Advanced Mathematical Statistics (I)</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STAT30026</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运营管理</w:t>
            </w:r>
            <w:r>
              <w:br/>
            </w:r>
            <w:r>
              <w:br/>
            </w:r>
            <w:r>
              <w:rPr>
                <w:rFonts w:ascii="SimSun" w:hAnsi="SimSun"/>
                <w:b w:val="false"/>
                <w:i w:val="false"/>
                <w:color w:val="000000"/>
                <w:sz w:val="21"/>
              </w:rPr>
              <w:t>Operations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物流管理</w:t>
            </w:r>
            <w:r>
              <w:br/>
            </w:r>
            <w:r>
              <w:br/>
            </w:r>
            <w:r>
              <w:rPr>
                <w:rFonts w:ascii="SimSun" w:hAnsi="SimSun"/>
                <w:b w:val="false"/>
                <w:i w:val="false"/>
                <w:color w:val="000000"/>
                <w:sz w:val="21"/>
              </w:rPr>
              <w:t>Logistics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法律、商业与社会</w:t>
            </w:r>
            <w:r>
              <w:br/>
            </w:r>
            <w:r>
              <w:br/>
            </w:r>
            <w:r>
              <w:rPr>
                <w:rFonts w:ascii="SimSun" w:hAnsi="SimSun"/>
                <w:b w:val="false"/>
                <w:i w:val="false"/>
                <w:color w:val="000000"/>
                <w:sz w:val="21"/>
              </w:rPr>
              <w:t>Law, Business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信息技术创新应用</w:t>
            </w:r>
            <w:r>
              <w:br/>
            </w:r>
            <w:r>
              <w:br/>
            </w:r>
            <w:r>
              <w:rPr>
                <w:rFonts w:ascii="SimSun" w:hAnsi="SimSun"/>
                <w:b w:val="false"/>
                <w:i w:val="false"/>
                <w:color w:val="000000"/>
                <w:sz w:val="21"/>
              </w:rPr>
              <w:t>Innovative Applications of Information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人工智能时代的商务模式</w:t>
            </w:r>
            <w:r>
              <w:br/>
            </w:r>
            <w:r>
              <w:br/>
            </w:r>
            <w:r>
              <w:rPr>
                <w:rFonts w:ascii="SimSun" w:hAnsi="SimSun"/>
                <w:b w:val="false"/>
                <w:i w:val="false"/>
                <w:color w:val="000000"/>
                <w:sz w:val="21"/>
              </w:rPr>
              <w:t>Business Models in the Era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人工智能经济学</w:t>
            </w:r>
            <w:r>
              <w:br/>
            </w:r>
            <w:r>
              <w:br/>
            </w:r>
            <w:r>
              <w:rPr>
                <w:rFonts w:ascii="SimSun" w:hAnsi="SimSun"/>
                <w:b w:val="false"/>
                <w:i w:val="false"/>
                <w:color w:val="000000"/>
                <w:sz w:val="21"/>
              </w:rPr>
              <w:t>AI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社会智能与心理计算</w:t>
            </w:r>
            <w:r>
              <w:br/>
            </w:r>
            <w:r>
              <w:br/>
            </w:r>
            <w:r>
              <w:rPr>
                <w:rFonts w:ascii="SimSun" w:hAnsi="SimSun"/>
                <w:b w:val="false"/>
                <w:i w:val="false"/>
                <w:color w:val="000000"/>
                <w:sz w:val="21"/>
              </w:rPr>
              <w:t>Social Intelligence and Psychological Computation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基于AI的知识管理</w:t>
            </w:r>
            <w:r>
              <w:br/>
            </w:r>
            <w:r>
              <w:br/>
            </w:r>
            <w:r>
              <w:rPr>
                <w:rFonts w:ascii="SimSun" w:hAnsi="SimSun"/>
                <w:b w:val="false"/>
                <w:i w:val="false"/>
                <w:color w:val="000000"/>
                <w:sz w:val="21"/>
              </w:rPr>
              <w:t>AI-based Knowledge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程序设计与数据可视化</w:t>
            </w:r>
            <w:r>
              <w:br/>
            </w:r>
            <w:r>
              <w:br/>
            </w:r>
            <w:r>
              <w:rPr>
                <w:rFonts w:ascii="SimSun" w:hAnsi="SimSun"/>
                <w:b w:val="false"/>
                <w:i w:val="false"/>
                <w:color w:val="000000"/>
                <w:sz w:val="21"/>
              </w:rPr>
              <w:t>Programming and Data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数据科学编程进阶</w:t>
            </w:r>
            <w:r>
              <w:br/>
            </w:r>
            <w:r>
              <w:br/>
            </w:r>
            <w:r>
              <w:rPr>
                <w:rFonts w:ascii="SimSun" w:hAnsi="SimSun"/>
                <w:b w:val="false"/>
                <w:i w:val="false"/>
                <w:color w:val="000000"/>
                <w:sz w:val="21"/>
              </w:rPr>
              <w:t>Advanced Data Science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现代操作系统和网络应用</w:t>
            </w:r>
            <w:r>
              <w:br/>
            </w:r>
            <w:r>
              <w:br/>
            </w:r>
            <w:r>
              <w:rPr>
                <w:rFonts w:ascii="SimSun" w:hAnsi="SimSun"/>
                <w:b w:val="false"/>
                <w:i w:val="false"/>
                <w:color w:val="000000"/>
                <w:sz w:val="21"/>
              </w:rPr>
              <w:t>Modern Operating Systems and Network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深度学习与运营优化</w:t>
            </w:r>
            <w:r>
              <w:br/>
            </w:r>
            <w:r>
              <w:br/>
            </w:r>
            <w:r>
              <w:rPr>
                <w:rFonts w:ascii="SimSun" w:hAnsi="SimSun"/>
                <w:b w:val="false"/>
                <w:i w:val="false"/>
                <w:color w:val="000000"/>
                <w:sz w:val="21"/>
              </w:rPr>
              <w:t>Deep Learning for Operation Optimization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强化学习与智能决策</w:t>
            </w:r>
            <w:r>
              <w:br/>
            </w:r>
            <w:r>
              <w:br/>
            </w:r>
            <w:r>
              <w:rPr>
                <w:rFonts w:ascii="SimSun" w:hAnsi="SimSun"/>
                <w:b w:val="false"/>
                <w:i w:val="false"/>
                <w:color w:val="000000"/>
                <w:sz w:val="21"/>
              </w:rPr>
              <w:t>Reinforcement Learning and Intelligent Decision-Making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规制经济学</w:t>
            </w:r>
            <w:r>
              <w:br/>
            </w:r>
            <w:r>
              <w:br/>
            </w:r>
            <w:r>
              <w:rPr>
                <w:rFonts w:ascii="SimSun" w:hAnsi="SimSun"/>
                <w:b w:val="false"/>
                <w:i w:val="false"/>
                <w:color w:val="000000"/>
                <w:sz w:val="21"/>
              </w:rPr>
              <w:t>Regulatory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产业组织与企业战略</w:t>
            </w:r>
            <w:r>
              <w:br/>
            </w:r>
            <w:r>
              <w:br/>
            </w:r>
            <w:r>
              <w:rPr>
                <w:rFonts w:ascii="SimSun" w:hAnsi="SimSun"/>
                <w:b w:val="false"/>
                <w:i w:val="false"/>
                <w:color w:val="000000"/>
                <w:sz w:val="21"/>
              </w:rPr>
              <w:t>Industrial Organization and Management Strategy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会计专题研究</w:t>
            </w:r>
            <w:r>
              <w:br/>
            </w:r>
            <w:r>
              <w:br/>
            </w:r>
            <w:r>
              <w:rPr>
                <w:rFonts w:ascii="SimSun" w:hAnsi="SimSun"/>
                <w:b w:val="false"/>
                <w:i w:val="false"/>
                <w:color w:val="000000"/>
                <w:sz w:val="21"/>
              </w:rPr>
              <w:t>Selected Topics in Accounting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价值投资实务</w:t>
            </w:r>
            <w:r>
              <w:br/>
            </w:r>
            <w:r>
              <w:br/>
            </w:r>
            <w:r>
              <w:rPr>
                <w:rFonts w:ascii="SimSun" w:hAnsi="SimSun"/>
                <w:b w:val="false"/>
                <w:i w:val="false"/>
                <w:color w:val="000000"/>
                <w:sz w:val="21"/>
              </w:rPr>
              <w:t>Value Investment in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国际财务管理</w:t>
            </w:r>
            <w:r>
              <w:br/>
            </w:r>
            <w:r>
              <w:br/>
            </w:r>
            <w:r>
              <w:rPr>
                <w:rFonts w:ascii="SimSun" w:hAnsi="SimSun"/>
                <w:b w:val="false"/>
                <w:i w:val="false"/>
                <w:color w:val="000000"/>
                <w:sz w:val="21"/>
              </w:rPr>
              <w:t>International 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中国金融市场</w:t>
            </w:r>
            <w:r>
              <w:br/>
            </w:r>
            <w:r>
              <w:br/>
            </w:r>
            <w:r>
              <w:rPr>
                <w:rFonts w:ascii="SimSun" w:hAnsi="SimSun"/>
                <w:b w:val="false"/>
                <w:i w:val="false"/>
                <w:color w:val="000000"/>
                <w:sz w:val="21"/>
              </w:rPr>
              <w:t>Chinese Financial Markets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基金管理</w:t>
            </w:r>
            <w:r>
              <w:br/>
            </w:r>
            <w:r>
              <w:br/>
            </w:r>
            <w:r>
              <w:rPr>
                <w:rFonts w:ascii="SimSun" w:hAnsi="SimSun"/>
                <w:b w:val="false"/>
                <w:i w:val="false"/>
                <w:color w:val="000000"/>
                <w:sz w:val="21"/>
              </w:rPr>
              <w:t>Investment Fund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经济与金融中的统计方法</w:t>
            </w:r>
            <w:r>
              <w:br/>
            </w:r>
            <w:r>
              <w:br/>
            </w:r>
            <w:r>
              <w:rPr>
                <w:rFonts w:ascii="SimSun" w:hAnsi="SimSun"/>
                <w:b w:val="false"/>
                <w:i w:val="false"/>
                <w:color w:val="000000"/>
                <w:sz w:val="21"/>
              </w:rPr>
              <w:t>Statistical Methods in Economics and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宏观政策与金融投资</w:t>
            </w:r>
            <w:r>
              <w:br/>
            </w:r>
            <w:r>
              <w:br/>
            </w:r>
            <w:r>
              <w:rPr>
                <w:rFonts w:ascii="SimSun" w:hAnsi="SimSun"/>
                <w:b w:val="false"/>
                <w:i w:val="false"/>
                <w:color w:val="000000"/>
                <w:sz w:val="21"/>
              </w:rPr>
              <w:t>Macroeconomic Policy and Financial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资本资产定价</w:t>
            </w:r>
            <w:r>
              <w:br/>
            </w:r>
            <w:r>
              <w:br/>
            </w:r>
            <w:r>
              <w:rPr>
                <w:rFonts w:ascii="SimSun" w:hAnsi="SimSun"/>
                <w:b w:val="false"/>
                <w:i w:val="false"/>
                <w:color w:val="000000"/>
                <w:sz w:val="21"/>
              </w:rPr>
              <w:t>Foundations of Asset Pricing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房地产金融</w:t>
            </w:r>
            <w:r>
              <w:br/>
            </w:r>
            <w:r>
              <w:br/>
            </w:r>
            <w:r>
              <w:rPr>
                <w:rFonts w:ascii="SimSun" w:hAnsi="SimSun"/>
                <w:b w:val="false"/>
                <w:i w:val="false"/>
                <w:color w:val="000000"/>
                <w:sz w:val="21"/>
              </w:rPr>
              <w:t>Real Estate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会计与人工智能</w:t>
            </w:r>
            <w:r>
              <w:br/>
            </w:r>
            <w:r>
              <w:br/>
            </w:r>
            <w:r>
              <w:rPr>
                <w:rFonts w:ascii="SimSun" w:hAnsi="SimSun"/>
                <w:b w:val="false"/>
                <w:i w:val="false"/>
                <w:color w:val="000000"/>
                <w:sz w:val="21"/>
              </w:rPr>
              <w:t>Artificial Intelligence in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数字平台经济学</w:t>
            </w:r>
            <w:r>
              <w:br/>
            </w:r>
            <w:r>
              <w:br/>
            </w:r>
            <w:r>
              <w:rPr>
                <w:rFonts w:ascii="SimSun" w:hAnsi="SimSun"/>
                <w:b w:val="false"/>
                <w:i w:val="false"/>
                <w:color w:val="000000"/>
                <w:sz w:val="21"/>
              </w:rPr>
              <w:t>Digital Platform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国际会计</w:t>
            </w:r>
            <w:r>
              <w:br/>
            </w:r>
            <w:r>
              <w:br/>
            </w:r>
            <w:r>
              <w:rPr>
                <w:rFonts w:ascii="SimSun" w:hAnsi="SimSun"/>
                <w:b w:val="false"/>
                <w:i w:val="false"/>
                <w:color w:val="000000"/>
                <w:sz w:val="21"/>
              </w:rPr>
              <w:t>International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营销渠道管理</w:t>
            </w:r>
            <w:r>
              <w:br/>
            </w:r>
            <w:r>
              <w:br/>
            </w:r>
            <w:r>
              <w:rPr>
                <w:rFonts w:ascii="SimSun" w:hAnsi="SimSun"/>
                <w:b w:val="false"/>
                <w:i w:val="false"/>
                <w:color w:val="000000"/>
                <w:sz w:val="21"/>
              </w:rPr>
              <w:t>Marketing Channel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荣誉项目课程设置和修读要求请见管理学院本科“荣誉项目”实施方案。下载地址：https://jwc.fudan.edu.cn（复旦大学教务处）专业培养-常用文档。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2个外院开设的专业学程，或修读2个跨学科学程，或修读1个外院开设的专业学程和1个跨学科学程，或修读1个专业进阶I组课程15学分和1个外院的专业学程或1个跨学科学程，学分不足部分可在全校所有本科生课程中任意选修。毕业时将获得市场营销专业毕业证书及学士学位证书。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1个创新创业学院开设的创新创业学程，以及1个非本专业独立开设的学程；或者2个创新创业学院开设的创新创业学程。修读学分不足部分可在全校所有本科生课程中任意选修。完成创新创业路径的学生，毕业时将获得市场营销专业毕业证书及学士学位证书。创新创业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修满55学分。要求至少修读1个本专业进阶课程，即专业进阶I组课程（15学分）和1个外院开设的辅修学士学位项目。辅修学士学位应与主修学士学位归属不同的本科专业大类。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辅修学士学位路径的学生，毕业时将获得市场营销专业毕业证书、学士学位证书及辅修学士学位。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1.多渠道支持并资助学生参加国外世界一流水平高校进行一学期的学习与交换。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2.全员参加“朝阳行动”，教授带队，学以致用，培养高度的社会责任感。
       </w:t>
      </w:r>
      <w:r>
        <w:br/>
      </w:r>
      <w:r>
        <w:rPr>
          <w:rFonts w:ascii="SimSun" w:hAnsi="SimSun"/>
          <w:b w:val="false"/>
          <w:i w:val="false"/>
          <w:color w:val="000000"/>
          <w:sz w:val="21"/>
        </w:rPr>
        <w:t xml:space="preserve">
       </w:t>
      </w:r>
      <w:r>
        <w:br/>
      </w:r>
      <w:r>
        <w:rPr>
          <w:rFonts w:ascii="SimSun" w:hAnsi="SimSun"/>
          <w:b w:val="false"/>
          <w:i w:val="false"/>
          <w:color w:val="000000"/>
          <w:sz w:val="21"/>
        </w:rPr>
        <w:t xml:space="preserve">3.体验科研训练，在解决复杂问题的过程中，激发批判性思维和科研潜力。鼓励完成1项复芏计划（FDUROP）项目，激发创新志趣。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大三上赴海外交换一学期。</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num w:numId="1">
    <w:abstractNumId w:val="1"/>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