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2025信息管理与信息系统（商业AI应用，AI系统开发)专业本科培养方案（港澳台侨生适用）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信息管理与信息系统专业作为管理与信息技术的交叉学科，起源于1985年的复旦大学管理科学系，并于2000年正式成立管理信息系统系，是国内最早开设此专业的高校之一，现有23位具有管理科学、信息系统、计算机科学和自动化学科背景的教师组成专业团队，于2021年改现名。该专业致力于培养能够优化和创新信息技术在管理中的应用，以提升社会生产力的新时代科研领袖和复合型企业决策者。专业课程先后入选国家级精品课和国家级一流本科课程，通过整合管理学和计算机科学等多方面的知识，专业成功地从技术型转变为技术与管理复合型，专注于解决现代企业和组织中信息系统采纳和应用的相关管理问题。根据全球信息系统协会（AIS）和全球商学院（UTD）高质量科研发表统计，本专业科研成果分别位于全球第26/23名；QS统计中，本专业归属的计算机科学与信息系统位于全球39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具备扎实计算机科学技术知识并能结合现代管理学知识在实际工作场景中加以应用的能力。尤其强调掌握系统思想、信息系统分析与设计方法和数据分析等方面的知识与能力，能在国家各级管理部门、工商企业、金融机构、科研单位等部门从事商业智能应用、信息管理以及信息系统分析、设计、实施和咨询的高级专门人才。课程体系要求学生掌握信息管理和信息系统的基本理论、基本知识；掌握管理信息系统的分析方法、设计方法和实现技术；掌握以人工智能技术基础和机器学习为代表的商业智能分析技术；具有信息组织、分析研究、传播与开发利用的基本能力；具有综合运用所学知识分析和解决问题的基本能力；了解本专业相关领域的发展动态；熟练掌握一门外语；掌握文献检索、资料查询、收集的基本方法，具有一定的科研能力和较强的动手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2573867"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573867" cy="16086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2573867" cy="103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73867" cy="1032933"/>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 xml:space="preserve">1、 专业进阶路径：118学分                                                               </w:t>
      </w:r>
    </w:p>
    <w:p>
      <w:pPr>
        <w:spacing w:after="0"/>
        <w:ind w:left="0"/>
        <w:jc w:val="left"/>
      </w:pPr>
      <w:r>
        <w:rPr>
          <w:rFonts w:ascii="SimSun" w:hAnsi="SimSun"/>
          <w:b w:val="false"/>
          <w:i w:val="false"/>
          <w:color w:val="000000"/>
          <w:sz w:val="21"/>
        </w:rPr>
        <w:t xml:space="preserve">      本路径学生需要完成118学分（含实践学分不低于18学分；含美育学分不少于2学分，其中至少在“美学和艺术史论类”或“艺术鉴赏和评论类”课程中修读1学分，并至少参与一项艺术实践活动；劳动教育不少于32学时，并满足劳动周教育要求），包括通识教育课程15学分、专业培养课程72学分、专业进阶模块I修读24学分、融合创新能力模块7学分。                                                                  </w:t>
      </w:r>
    </w:p>
    <w:p>
      <w:pPr>
        <w:spacing w:after="0"/>
        <w:ind w:left="0"/>
        <w:jc w:val="left"/>
      </w:pPr>
      <w:r>
        <w:rPr>
          <w:rFonts w:ascii="SimSun" w:hAnsi="SimSun"/>
          <w:b w:val="false"/>
          <w:i w:val="false"/>
          <w:color w:val="000000"/>
          <w:sz w:val="21"/>
        </w:rPr>
        <w:t xml:space="preserve">2、 本科荣誉项目：119学分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跨学科学发展路径：118学分                                                                   </w:t>
      </w:r>
    </w:p>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（一）本科学位</w:t>
      </w:r>
      <w:r>
        <w:br/>
      </w:r>
      <w:r>
        <w:br/>
      </w:r>
      <w:r>
        <w:rPr>
          <w:rFonts w:ascii="SimSun" w:hAnsi="SimSun"/>
          <w:b w:val="false"/>
          <w:i w:val="false"/>
          <w:color w:val="000000"/>
          <w:sz w:val="21"/>
        </w:rPr>
        <w:t xml:space="preserve">1. 4年级结束时，如达到学士学位要求者理授予管理学学士学位。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（3）在此基础上，达到管理学院“本科荣誉证书”获得条件的授予“本科荣誉证书”，具体要求请见管理学院“本科荣誉项目”实施方案。</w:t>
      </w:r>
      <w:r>
        <w:br/>
      </w:r>
      <w:r>
        <w:br/>
      </w:r>
      <w:r>
        <w:br/>
      </w:r>
      <w:r>
        <w:br/>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776133" cy="1625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76133" cy="1625600"/>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r>
        <w:br/>
      </w:r>
      <w:r>
        <w:rPr>
          <w:rFonts w:ascii="SimSun" w:hAnsi="SimSun"/>
          <w:b w:val="false"/>
          <w:i w:val="false"/>
          <w:color w:val="000000"/>
          <w:sz w:val="21"/>
        </w:rPr>
        <w:t xml:space="preserve">
       </w:t>
      </w:r>
      <w:r>
        <w:br/>
      </w:r>
      <w:r>
        <w:rPr>
          <w:rFonts w:ascii="SimSun" w:hAnsi="SimSun"/>
          <w:b w:val="false"/>
          <w:i w:val="false"/>
          <w:color w:val="000000"/>
          <w:sz w:val="21"/>
        </w:rPr>
        <w:t xml:space="preserve">留学生和港澳台侨学生的通识教育课程修读要求，以及留学生的水平测试要求，参见“留学生、港澳台侨学生修读说明”。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线性代数Ⅱ</w:t>
            </w:r>
            <w:r>
              <w:br/>
            </w:r>
            <w:r>
              <w:br/>
            </w:r>
            <w:r>
              <w:rPr>
                <w:rFonts w:ascii="SimSun" w:hAnsi="SimSun"/>
                <w:b w:val="false"/>
                <w:i w:val="false"/>
                <w:color w:val="000000"/>
                <w:sz w:val="21"/>
              </w:rPr>
              <w:t>Linear Algebra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要求修读45学分（A组学院平台课26学分，B组3学分，C组16学分）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（26学分）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2门选1门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C组</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系统分析与设计</w:t>
            </w:r>
            <w:r>
              <w:br/>
            </w:r>
            <w:r>
              <w:br/>
            </w:r>
            <w:r>
              <w:rPr>
                <w:rFonts w:ascii="SimSun" w:hAnsi="SimSun"/>
                <w:b w:val="false"/>
                <w:i w:val="false"/>
                <w:color w:val="000000"/>
                <w:sz w:val="21"/>
              </w:rPr>
              <w:t>System Analysis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15学分,进阶II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A组（8门选4门，不少于10学分）</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数字经济模块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数字经济模块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数字经济模块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数字经济模块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商业人工智能应用模块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商业人工智能应用模块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商业人工智能应用模块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商业人工智能应用模块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以下课程任选，至少修读5学分。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财务报告</w:t>
            </w:r>
            <w:r>
              <w:br/>
            </w:r>
            <w:r>
              <w:br/>
            </w:r>
            <w:r>
              <w:rPr>
                <w:rFonts w:ascii="SimSun" w:hAnsi="SimSun"/>
                <w:b w:val="false"/>
                <w:i w:val="false"/>
                <w:color w:val="000000"/>
                <w:sz w:val="21"/>
              </w:rPr>
              <w:t>Financial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专业进阶II组(必修9学分)</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进阶II一共需修读9学分，其中A组至少修读6学分，B组和C组一共修读0-3学分。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A组（5门选3门）</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47"/>
        <w:gridCol w:w="761"/>
        <w:gridCol w:w="761"/>
        <w:gridCol w:w="1066"/>
        <w:gridCol w:w="1824"/>
        <w:gridCol w:w="761"/>
        <w:gridCol w:w="761"/>
        <w:gridCol w:w="761"/>
        <w:gridCol w:w="761"/>
        <w:gridCol w:w="1067"/>
        <w:gridCol w:w="2064"/>
      </w:tblGrid>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高级微观经济学（H）</w:t>
            </w:r>
            <w:r>
              <w:br/>
            </w:r>
            <w:r>
              <w:br/>
            </w:r>
            <w:r>
              <w:rPr>
                <w:rFonts w:ascii="SimSun" w:hAnsi="SimSun"/>
                <w:b w:val="false"/>
                <w:i w:val="false"/>
                <w:color w:val="000000"/>
                <w:sz w:val="21"/>
              </w:rPr>
              <w:t>Advanced Microeconomics(H)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ECON30167h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现代企业理论（H）</w:t>
            </w:r>
            <w:r>
              <w:br/>
            </w:r>
            <w:r>
              <w:br/>
            </w:r>
            <w:r>
              <w:rPr>
                <w:rFonts w:ascii="SimSun" w:hAnsi="SimSun"/>
                <w:b w:val="false"/>
                <w:i w:val="false"/>
                <w:color w:val="000000"/>
                <w:sz w:val="21"/>
              </w:rPr>
              <w:t>The Theory of the Modern Firm (H)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ECON30172h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智能仿真与在线学习</w:t>
            </w:r>
            <w:r>
              <w:br/>
            </w:r>
            <w:r>
              <w:br/>
            </w:r>
            <w:r>
              <w:rPr>
                <w:rFonts w:ascii="SimSun" w:hAnsi="SimSun"/>
                <w:b w:val="false"/>
                <w:i w:val="false"/>
                <w:color w:val="000000"/>
                <w:sz w:val="21"/>
              </w:rPr>
              <w:t>Intelligent Simulation and Online Learning</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MSE40006</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STAT30025</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高等数理统计（一）</w:t>
            </w:r>
            <w:r>
              <w:br/>
            </w:r>
            <w:r>
              <w:br/>
            </w:r>
            <w:r>
              <w:rPr>
                <w:rFonts w:ascii="SimSun" w:hAnsi="SimSun"/>
                <w:b w:val="false"/>
                <w:i w:val="false"/>
                <w:color w:val="000000"/>
                <w:sz w:val="21"/>
              </w:rPr>
              <w:t>Advanced Mathematical Statistics (I)</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STAT30026</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MATH20001</w:t>
            </w: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6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可用"PHYS10002普通物理B” 替代</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2个外院开设的专业学程，或修读2个跨学科学程，或修读1个外院开设的专业学程和1个跨学科学程，或修读1个专业进阶I组课程15学分和1个外院的专业学程或1个跨学科学程，学分不足部分可在全校所有本科生课程中任意选修。毕业时将获得信息管理与信息系统专业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1个创新创业学院开设的创新创业学程，以及1个非本专业独立开设的学程；或者2个创新创业学院开设的创新创业学程。修读学分不足部分可在全校所有本科生课程中任意选修。完成创新创业路径的学生，毕业时将获得信息管理与信息系统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修满55学分。要求至少修读1个本专业进阶课程，即专业进阶I组课程（15学分）和1个外院开设的辅修学士学位项目。辅修学士学位应与主修学士学位归属不同的本科专业大类。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信息管理与信息系统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