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2025级经济学（国际项目）教学培养方案（普通本科生）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经济学科秉承“经世济民、追求卓越”的理念，以先进的育人理念、雄厚的师资力量、和谐的管理氛围、优质的学术成果等优势被公认为国内最强的经济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培养德智体美劳全面发展的经济学领军人才。学生应具有良好的思想道德素质和科学的世界观，具有博大的人文情怀，具备突出的科学素养与创新思维、开阔的国际视野和跨文化交流与合作能力，能够服务国家重大战略需求和世界未来发展大局。</w:t>
      </w:r>
      <w:r>
        <w:br/>
      </w:r>
      <w:r>
        <w:br/>
      </w:r>
      <w:r>
        <w:rPr>
          <w:rFonts w:ascii="SimSun" w:hAnsi="SimSun"/>
          <w:b w:val="false"/>
          <w:i w:val="false"/>
          <w:color w:val="000000"/>
          <w:sz w:val="21"/>
        </w:rPr>
        <w:t>此项目主要采用英语授课，中外优秀学生同堂学习。借鉴全球成功教育模式，在强化优质教育的同时，与全球多所顶尖学府合作，融合全球异地交流课堂、名企参访、海外实习、精品课程及顶尖师资等多元化教学模式，开拓学生国际视野，促进学生博识洽闻，培养学生在未来全球不确定性世界的适应、分析和发展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76800" cy="221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76800" cy="2218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5063067"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63067" cy="14901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本专业学生毕业时须满足通识教育课程（含通识教育核心课程和专项教育课程）41学分，大类基础课程29学分，专业核心课程30学分，多元发展路径课修读36学分，Y模块7学分，总学分不低于143学分，（含实践学分不低于21学分、含美育学分不少于2学分、其中至少在“美学和艺术史论类”或“艺术鉴赏和评论类”课程中修读1学分，并至少参与一项艺术实践活动、劳动教育不少于32学时，并满足劳动周教育要求），达到学位要求者授予经济学学士学位。</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19"/>
        <w:gridCol w:w="2619"/>
        <w:gridCol w:w="2620"/>
        <w:gridCol w:w="2620"/>
        <w:gridCol w:w="2620"/>
        <w:gridCol w:w="2620"/>
        <w:gridCol w:w="2620"/>
        <w:gridCol w:w="2620"/>
        <w:gridCol w:w="2620"/>
        <w:gridCol w:w="2620"/>
        <w:gridCol w:w="2622"/>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专业进阶路径：143学分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144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41学分、专业培养课程59学分、专业进阶模块修读36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荣誉项目课程设置和修读要求请见经济学院本科“荣誉项目”实施方案。下载地址：https://jwc.fudan.edu.cn/（复旦大学教务处）-专业培养-常用文档。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跨学科发展路径：143学分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144学分，包括通识教育课程41学分、专业培养课程59学分、融合创新能力模块7学分、专业进阶模块21学分+1个外院系专业学程或跨学科学程共36学分，或两个外院系专业学程或跨学科学程共36学分。 学分不足部分可在全校所有本科生课程中任意选修。</w:t>
            </w:r>
            <w:r>
              <w:br/>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tc>
      </w:tr>
    </w:tbl>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4年级结束时，如达到学士学位要求者授予经济学学士学位。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本专业要求学生系统掌握经济学基本理论和经济学基础专业知识，了解市场经济运行机制，熟悉党和国家经济方针、政策和法规，了解中外经济发展历史和现状；具有运用数量分析方法和现代技术手段进行社会调查、经济研究分析和实际操作等能力。</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本项目给低年级本科生配备学业导师，在教学中通过大学分课程鼓励课堂讨论和学术引导，早早培育学生对科研的兴趣。</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大学外语（A级）</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大学英语高阶课程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要求修读经济学基础课程29学分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概率论和数理统计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要求修读30学分（部分课程学分可用荣誉课程学分替换）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中级微观经济学</w:t>
            </w:r>
            <w:r>
              <w:br/>
            </w:r>
            <w:r>
              <w:br/>
            </w:r>
            <w:r>
              <w:rPr>
                <w:rFonts w:ascii="SimSun" w:hAnsi="SimSun"/>
                <w:b w:val="false"/>
                <w:i w:val="false"/>
                <w:color w:val="000000"/>
                <w:sz w:val="21"/>
              </w:rPr>
              <w:t>Intermediate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中级宏观经济学</w:t>
            </w:r>
            <w:r>
              <w:br/>
            </w:r>
            <w:r>
              <w:br/>
            </w:r>
            <w:r>
              <w:rPr>
                <w:rFonts w:ascii="SimSun" w:hAnsi="SimSun"/>
                <w:b w:val="false"/>
                <w:i w:val="false"/>
                <w:color w:val="000000"/>
                <w:sz w:val="21"/>
              </w:rPr>
              <w:t>Intermediate Macroeconomics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二选一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二选一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Econometric Analysis of Cross Section and Panel Data</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修满36学分。完成专业进阶路径修读要求的学生，可以向经济学院申请推免直研资格。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专业进阶模块I（至少26学分）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Money and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ECON30148h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ECON40036h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w:t>
            </w:r>
            <w:r>
              <w:br/>
            </w:r>
            <w:r>
              <w:br/>
            </w:r>
            <w:r>
              <w:rPr>
                <w:rFonts w:ascii="SimSun" w:hAnsi="SimSun"/>
                <w:b w:val="false"/>
                <w:i w:val="false"/>
                <w:color w:val="000000"/>
                <w:sz w:val="21"/>
              </w:rPr>
              <w:t>Industrial Organization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国际金融学</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w:t>
            </w:r>
            <w:r>
              <w:br/>
            </w:r>
            <w:r>
              <w:br/>
            </w:r>
            <w:r>
              <w:rPr>
                <w:rFonts w:ascii="SimSun" w:hAnsi="SimSun"/>
                <w:b w:val="false"/>
                <w:i w:val="false"/>
                <w:color w:val="000000"/>
                <w:sz w:val="21"/>
              </w:rPr>
              <w:t>Multinational Corporations (MNCs)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中国金融体系</w:t>
            </w:r>
            <w:r>
              <w:br/>
            </w:r>
            <w:r>
              <w:br/>
            </w:r>
            <w:r>
              <w:rPr>
                <w:rFonts w:ascii="SimSun" w:hAnsi="SimSun"/>
                <w:b w:val="false"/>
                <w:i w:val="false"/>
                <w:color w:val="000000"/>
                <w:sz w:val="21"/>
              </w:rPr>
              <w:t>China’s Financial System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经济数据分析与机器学习</w:t>
            </w:r>
            <w:r>
              <w:br/>
            </w:r>
            <w:r>
              <w:br/>
            </w:r>
            <w:r>
              <w:rPr>
                <w:rFonts w:ascii="SimSun" w:hAnsi="SimSun"/>
                <w:b w:val="false"/>
                <w:i w:val="false"/>
                <w:color w:val="000000"/>
                <w:sz w:val="21"/>
              </w:rPr>
              <w:t>Economic Data Analysis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经济超级大国的形成：1850年以来的中国</w:t>
            </w:r>
            <w:r>
              <w:br/>
            </w:r>
            <w:r>
              <w:br/>
            </w:r>
            <w:r>
              <w:rPr>
                <w:rFonts w:ascii="SimSun" w:hAnsi="SimSun"/>
                <w:b w:val="false"/>
                <w:i w:val="false"/>
                <w:color w:val="000000"/>
                <w:sz w:val="21"/>
              </w:rPr>
              <w:t>The Making of an Economic Superpower: China since 1850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ECON30177</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 （0-10学分）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风险管理学</w:t>
            </w:r>
            <w:r>
              <w:br/>
            </w:r>
            <w:r>
              <w:br/>
            </w:r>
            <w:r>
              <w:rPr>
                <w:rFonts w:ascii="SimSun" w:hAnsi="SimSun"/>
                <w:b w:val="false"/>
                <w:i w:val="false"/>
                <w:color w:val="000000"/>
                <w:sz w:val="21"/>
              </w:rPr>
              <w:t>Risk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动态优化</w:t>
            </w:r>
            <w:r>
              <w:br/>
            </w:r>
            <w:r>
              <w:br/>
            </w:r>
            <w:r>
              <w:rPr>
                <w:rFonts w:ascii="SimSun" w:hAnsi="SimSun"/>
                <w:b w:val="false"/>
                <w:i w:val="false"/>
                <w:color w:val="000000"/>
                <w:sz w:val="21"/>
              </w:rPr>
              <w:t>Dynamic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Introduction to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仅限海外交流学分转回 仅用于交流学分转回</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中国税收制度与财政政策</w:t>
            </w:r>
            <w:r>
              <w:br/>
            </w:r>
            <w:r>
              <w:br/>
            </w:r>
            <w:r>
              <w:rPr>
                <w:rFonts w:ascii="SimSun" w:hAnsi="SimSun"/>
                <w:b w:val="false"/>
                <w:i w:val="false"/>
                <w:color w:val="000000"/>
                <w:sz w:val="21"/>
              </w:rPr>
              <w:t>China’s Taxation System and Fiscal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MF70009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经济学院EMA课程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Enterprise Internationalization: Theory and Practice</w:t>
            </w:r>
            <w:r>
              <w:br/>
            </w:r>
            <w:r>
              <w:br/>
            </w:r>
            <w:r>
              <w:rPr>
                <w:rFonts w:ascii="SimSun" w:hAnsi="SimSun"/>
                <w:b w:val="false"/>
                <w:i w:val="false"/>
                <w:color w:val="000000"/>
                <w:sz w:val="21"/>
              </w:rPr>
              <w:t>Enterprise Internationalization: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MIB60004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经济学院EMA课程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财务报表分析和估值</w:t>
            </w:r>
            <w:r>
              <w:br/>
            </w:r>
            <w:r>
              <w:br/>
            </w:r>
            <w:r>
              <w:rPr>
                <w:rFonts w:ascii="SimSun" w:hAnsi="SimSun"/>
                <w:b w:val="false"/>
                <w:i w:val="false"/>
                <w:color w:val="000000"/>
                <w:sz w:val="21"/>
              </w:rPr>
              <w:t>Analysis of Financial Statements and Valuation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MF60009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经济学院EMA课程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风险投资，上市和并购</w:t>
            </w:r>
            <w:r>
              <w:br/>
            </w:r>
            <w:r>
              <w:br/>
            </w:r>
            <w:r>
              <w:rPr>
                <w:rFonts w:ascii="SimSun" w:hAnsi="SimSun"/>
                <w:b w:val="false"/>
                <w:i w:val="false"/>
                <w:color w:val="000000"/>
                <w:sz w:val="21"/>
              </w:rPr>
              <w:t>Venture Capital, IPO and Merger and Acquisition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MIB70010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经济学院EMA课程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中国金融体系</w:t>
            </w:r>
            <w:r>
              <w:br/>
            </w:r>
            <w:r>
              <w:br/>
            </w:r>
            <w:r>
              <w:rPr>
                <w:rFonts w:ascii="SimSun" w:hAnsi="SimSun"/>
                <w:b w:val="false"/>
                <w:i w:val="false"/>
                <w:color w:val="000000"/>
                <w:sz w:val="21"/>
              </w:rPr>
              <w:t>China’s Financial System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经济学院EMA课程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经济学院讲座课程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多元发展模块-专业进阶课程</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Money and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ECON40036h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ECON30148h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w:t>
            </w:r>
            <w:r>
              <w:br/>
            </w:r>
            <w:r>
              <w:br/>
            </w:r>
            <w:r>
              <w:rPr>
                <w:rFonts w:ascii="SimSun" w:hAnsi="SimSun"/>
                <w:b w:val="false"/>
                <w:i w:val="false"/>
                <w:color w:val="000000"/>
                <w:sz w:val="21"/>
              </w:rPr>
              <w:t>Industrial Organization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国际金融学</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修读荣誉课程的学分数不低于24分，课程门数不少于6门，荣誉课程不可以P、NP记载，需为在本校修读完成并获得学分的课程。其中公司金融（H）和计量经济学（H）为必修课程；荣誉课程绩点不低于3.8。 具体可参考当年级《经济学院“本科荣誉项目”实施方案》。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本路径学生需要完成专业进阶I中21学分+1个外院系专业学程或跨学科学程共36学分，或两个外院系专业学程或跨学科学程共36学分。 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修满36学分。本路径学生需要完成专业进阶I中21学分+1个创新创业学院开设的创新创业学程共36学分，或两个创新创业学院开设的创新创业学程共36学分。 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要求至少修读本专业进阶I课程21学分和1个辅修学士学位项目，辅修学士学位应与主修学士学位归属不同的本科专业大类。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须修2学分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须修2学分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须修2学分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须修2学分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