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2025新闻学（望道新闻卓越班）-经济学双学士学位项目本硕融通方案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政治立场坚定、方向正确，兼具新闻学与经济学双重卓越素养的应用型、创新型、复合型精英人才。在新闻传播方面，学生要筑牢专业基础，熟悉新闻采写编评、新媒体运营等各环节技能，掌握媒介经营管理策略，严守新闻法规伦理，敏锐捕捉信息，精准生动地传递时代之声。经济学领域，学生全面掌握微观、宏观经济学基础理论，涉猎产业、国际、计量经济学等多元领域，熟练运用数据建模、案例研究等方法，解读政策、剖析市场，为决策提供依据，成长为适应新时代、引领多领域发展的复合型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新闻学（望道新闻卓越班）-经济学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157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606800"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6800" cy="1490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1、专业进阶路径：184学分                                                                </w:t>
      </w:r>
    </w:p>
    <w:p>
      <w:pPr>
        <w:spacing w:after="0"/>
        <w:ind w:left="0"/>
        <w:jc w:val="left"/>
      </w:pPr>
      <w:r>
        <w:rPr>
          <w:rFonts w:ascii="SimSun" w:hAnsi="SimSun"/>
          <w:b w:val="false"/>
          <w:i w:val="false"/>
          <w:color w:val="000000"/>
          <w:sz w:val="21"/>
        </w:rPr>
        <w:t>本路径学生本硕期间必须修满教学计划规定的184学分，包括通识教育课程44学分、专业培养课程102学分、专业进阶模块20学分（研究生课程不少于10学分）、融合创新能力培养模块18学分。</w:t>
      </w:r>
      <w:r>
        <w:br/>
      </w:r>
      <w:r>
        <w:br/>
      </w:r>
      <w:r>
        <w:rPr>
          <w:rFonts w:ascii="SimSun" w:hAnsi="SimSun"/>
          <w:b w:val="false"/>
          <w:i w:val="false"/>
          <w:color w:val="000000"/>
          <w:sz w:val="21"/>
        </w:rPr>
        <w:t>其中，本科学段需要完成157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41学分、专业培养课程94学分、专业进阶模块修读10学分、融合创新能力培养12学分。</w:t>
      </w:r>
    </w:p>
    <w:p>
      <w:pPr>
        <w:spacing w:after="0"/>
        <w:ind w:left="0"/>
        <w:jc w:val="left"/>
      </w:pPr>
      <w:r>
        <w:rPr>
          <w:rFonts w:ascii="SimSun" w:hAnsi="SimSun"/>
          <w:b w:val="false"/>
          <w:i w:val="false"/>
          <w:color w:val="000000"/>
          <w:sz w:val="21"/>
        </w:rPr>
        <w:t xml:space="preserve">2、本科荣誉项目：184学分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3、跨学科学发展路径：200学分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4年级结束时，如达到学士学位要求者授予文学、经济学学士学位。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                                                     </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本科学段主动退出和转段考核不合格退出本硕融通计划的学生，需按照新闻学专业本科“2+X+Y”培养方案修读课程，如达到学士学位要求者授予文学学士学位。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（102学分,本科要求94学分）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三组课程中任意选修一组课程。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学科基础课程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（74学分,本科要求66学分）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修满20学分。要求在专业进阶模块I中至少修读12学分（其中研究生学位课程不少于10分），专业进阶模块II中修读8学分。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（12学分,本科要求2学分）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洞察中国与世界模块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危机沟通</w:t>
            </w:r>
            <w:r>
              <w:br/>
            </w:r>
            <w:r>
              <w:br/>
            </w:r>
            <w:r>
              <w:rPr>
                <w:rFonts w:ascii="SimSun" w:hAnsi="SimSun"/>
                <w:b w:val="false"/>
                <w:i w:val="false"/>
                <w:color w:val="000000"/>
                <w:sz w:val="21"/>
              </w:rPr>
              <w:t>Crisis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应用新闻传播模块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国际新闻理论与实务</w:t>
            </w:r>
            <w:r>
              <w:br/>
            </w:r>
            <w:r>
              <w:br/>
            </w:r>
            <w:r>
              <w:rPr>
                <w:rFonts w:ascii="SimSun" w:hAnsi="SimSun"/>
                <w:b w:val="false"/>
                <w:i w:val="false"/>
                <w:color w:val="000000"/>
                <w:sz w:val="21"/>
              </w:rPr>
              <w:t>International Journalism: Theory and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特稿与非虚构写作</w:t>
            </w:r>
            <w:r>
              <w:br/>
            </w:r>
            <w:r>
              <w:br/>
            </w:r>
            <w:r>
              <w:rPr>
                <w:rFonts w:ascii="SimSun" w:hAnsi="SimSun"/>
                <w:b w:val="false"/>
                <w:i w:val="false"/>
                <w:color w:val="000000"/>
                <w:sz w:val="21"/>
              </w:rPr>
              <w:t>Feature and Nonfiction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无人机新闻理论与实践</w:t>
            </w:r>
            <w:r>
              <w:br/>
            </w:r>
            <w:r>
              <w:br/>
            </w:r>
            <w:r>
              <w:rPr>
                <w:rFonts w:ascii="SimSun" w:hAnsi="SimSun"/>
                <w:b w:val="false"/>
                <w:i w:val="false"/>
                <w:color w:val="000000"/>
                <w:sz w:val="21"/>
              </w:rPr>
              <w:t>Drone Journalism：Theories ＆ Practices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JCM70035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学术研究模块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新闻传播质化研究专题</w:t>
            </w:r>
            <w:r>
              <w:br/>
            </w:r>
            <w:r>
              <w:br/>
            </w:r>
            <w:r>
              <w:rPr>
                <w:rFonts w:ascii="SimSun" w:hAnsi="SimSun"/>
                <w:b w:val="false"/>
                <w:i w:val="false"/>
                <w:color w:val="000000"/>
                <w:sz w:val="21"/>
              </w:rPr>
              <w:t>Qualitative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新闻传播量化研究专题</w:t>
            </w:r>
            <w:r>
              <w:br/>
            </w:r>
            <w:r>
              <w:br/>
            </w:r>
            <w:r>
              <w:rPr>
                <w:rFonts w:ascii="SimSun" w:hAnsi="SimSun"/>
                <w:b w:val="false"/>
                <w:i w:val="false"/>
                <w:color w:val="000000"/>
                <w:sz w:val="21"/>
              </w:rPr>
              <w:t>Quantitative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计算传播分析方法</w:t>
            </w:r>
            <w:r>
              <w:br/>
            </w:r>
            <w:r>
              <w:br/>
            </w:r>
            <w:r>
              <w:rPr>
                <w:rFonts w:ascii="SimSun" w:hAnsi="SimSun"/>
                <w:b w:val="false"/>
                <w:i w:val="false"/>
                <w:color w:val="000000"/>
                <w:sz w:val="21"/>
              </w:rPr>
              <w:t>Computational Communication Methods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JCM60018</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其中研究生学位课程不少于10分）、专业进阶模块II修读8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按照《复旦大学新闻学院关于学术型研究生学位论文开题环节的实施细则》执行。</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研究生学段需参加学术探讨（如学术讲座、沙龙、工作坊、课题项目等）、主讲学术报告、参加学术会议、承担助教工作等。由导师给予成绩。</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研究生学段需完成必要的专业实习、社会实践、社会调查、创新创业比赛等。</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