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化学系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化学专业本博融通培养方案（相辉计划）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 xml:space="preserve">  复旦大学化学系始建于1926年，设有无机化学、有机化学、物理化学、分析化学和化学生物学5个二级学科，现已成为我国培养顶尖化学人才、开展面向国家战略需求和国际前沿研究的重要基地。本专业致力于培养具有宽广的人文、社会和自然科学基本理论和知识，具有扎实的化学专业基础、良好的科学素养和创新意识的综合型领军人才。</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 xml:space="preserve">  本专业以数学、物理、化学、生物、微电子、人工智能以及经济等学科发展趋势为导向，以服务国家重大战略需求为牵引，按照“宽口径、厚基础、重能力、求创新”的人才培养要求，以“2+X+Y”（2是通识和专业教育，X是多元发展路径，Y为融合创新能力）为途径， 培养德智体美劳全面发展，具有扎实的化学专业基础、良好的科学素养和创新意识，能在各基础学科、人工智能、微电子领域融会贯通，能在相关领域从事科研、教学、技术应用和管理等方面工作的高级领军人才。</w:t>
      </w:r>
    </w:p>
    <w:p>
      <w:pPr>
        <w:spacing w:after="0"/>
        <w:ind w:left="0"/>
        <w:jc w:val="both"/>
      </w:pPr>
      <w:r>
        <w:rPr>
          <w:rFonts w:ascii="SimSun" w:hAnsi="SimSun"/>
          <w:b w:val="false"/>
          <w:i w:val="false"/>
          <w:color w:val="000000"/>
          <w:sz w:val="21"/>
        </w:rPr>
        <w:t xml:space="preserve">  要求学生系统地掌握化学及相关学科的基本理论、基础知识和实验技能，掌握必要的数学、物理、生物、人工智能、微电子、经济学等学科基本知识，具有较高的外语水平和信息技术应用能力；提高发现问题、提出问题、解决问题和获取新知识的能力；了解化学学科发展和前沿动态，掌握基本的科学研究方法，具备系统科学研究所需的知识和技能储备，提升从事基础学科研究的素养和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335867"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35867" cy="1710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按照《化学系博士研究生资格考试实施细则》实行考核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化学本科</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“化学本科（相辉计划）+材料与化工专业硕士”或“化学本科（相辉计划）+生物与医药专业硕士”</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按照化学本科（相辉计划）培养方案进行毕业审核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其它硕士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“材料与化工”或“生物与医药”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选择按照“化学本科（相辉计划）培养方案+硕士培养方案”进行审核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both"/>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both"/>
      </w:pPr>
      <w:r>
        <w:rPr>
          <w:rFonts w:ascii="SimSun" w:hAnsi="SimSun"/>
          <w:b w:val="false"/>
          <w:i w:val="false"/>
          <w:color w:val="000000"/>
          <w:sz w:val="21"/>
        </w:rPr>
        <w:t>1、专业进阶路径：162学分</w:t>
      </w:r>
    </w:p>
    <w:p>
      <w:pPr>
        <w:spacing w:after="0"/>
        <w:ind w:left="0"/>
        <w:jc w:val="both"/>
      </w:pPr>
      <w:r>
        <w:rPr>
          <w:rFonts w:ascii="SimSun" w:hAnsi="SimSun"/>
          <w:b w:val="false"/>
          <w:i w:val="false"/>
          <w:color w:val="000000"/>
          <w:sz w:val="21"/>
        </w:rPr>
        <w:t xml:space="preserve">  本路径学生在学期间必须修满教学计划规定的160学分（含实践学分不低于40.5学分；含美育学分不少于2学分，其中至少在“美学和艺术史论类”或“艺术鉴赏和评论类”课程中修读1学分,并至少参与一项艺术实践活动；劳动教育不少于32学时，并满足劳动周教育要求）方能毕业。其中包括通识教育课程44学分、专业培养课程87学分、专业进阶模块20学分，融合创新能力培养11学分的修读。</w:t>
      </w:r>
    </w:p>
    <w:p>
      <w:pPr>
        <w:spacing w:after="0"/>
        <w:ind w:left="0"/>
        <w:jc w:val="both"/>
      </w:pPr>
      <w:r>
        <w:rPr>
          <w:rFonts w:ascii="SimSun" w:hAnsi="SimSun"/>
          <w:b w:val="false"/>
          <w:i w:val="false"/>
          <w:color w:val="000000"/>
          <w:sz w:val="21"/>
        </w:rPr>
        <w:t>2、荣誉项目路径：162学分</w:t>
      </w:r>
    </w:p>
    <w:p>
      <w:pPr>
        <w:spacing w:after="0"/>
        <w:ind w:left="0"/>
        <w:jc w:val="both"/>
      </w:pPr>
      <w:r>
        <w:rPr>
          <w:rFonts w:ascii="SimSun" w:hAnsi="SimSun"/>
          <w:b w:val="false"/>
          <w:i w:val="false"/>
          <w:color w:val="000000"/>
          <w:sz w:val="21"/>
        </w:rPr>
        <w:t xml:space="preserve">  须在完成专业进阶路径的要求的同时，修读至少24学分由化学系开设的荣誉课程。荣誉项目课程设置和修读要求请见化学系“荣誉项目”实施方案。下载地址：https://jwc.fudan.edu.cn/（复旦大学教务处）专业培养-常用文档。</w:t>
      </w:r>
    </w:p>
    <w:p>
      <w:pPr>
        <w:spacing w:after="0"/>
        <w:ind w:left="0"/>
        <w:jc w:val="both"/>
      </w:pPr>
      <w:r>
        <w:rPr>
          <w:rFonts w:ascii="SimSun" w:hAnsi="SimSun"/>
          <w:b w:val="false"/>
          <w:i w:val="false"/>
          <w:color w:val="000000"/>
          <w:sz w:val="21"/>
        </w:rPr>
        <w:t>3、跨学科发展路径：177学分</w:t>
      </w:r>
    </w:p>
    <w:p>
      <w:pPr>
        <w:spacing w:after="0"/>
        <w:ind w:left="0"/>
        <w:jc w:val="both"/>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（3）在此基础上，达到化学系“荣誉证书”获得条件的授予“荣誉证书”，具体要求请见化学系“荣誉项目”实施方案。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2、本科学段主动退出和转段考核不合格退出本博融通计划的学生，需按照化学本科培养方案（相辉计划适用）修读课程，如达到学士学位要求者授予理学学士学位。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（2）须满足化学学位评定委员会制定的关于化学学术博士学位授予标准的要求。          </w:t>
      </w:r>
    </w:p>
    <w:p>
      <w:pPr>
        <w:spacing w:after="0"/>
        <w:ind w:left="0"/>
        <w:jc w:val="left"/>
      </w:pPr>
      <w:r>
        <w:rPr>
          <w:rFonts w:ascii="SimSun" w:hAnsi="SimSun"/>
          <w:b w:val="false"/>
          <w:i w:val="false"/>
          <w:color w:val="000000"/>
          <w:sz w:val="21"/>
        </w:rPr>
        <w:t>2、研究生学段主动退出和博士生资格考核不合格退出本博融通计划的学生，需按照“材料与化工”或“生物与医药”专业硕士培养方案修读课程，如达到硕士学位要求者授予硕士学位。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（2）须满足化学学位评定委员会制定的关于专业硕士学位授予标准的要求。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开放度、高挑战性的荣誉课程为基础建立了本研融通的专业核心课程体系，以学科领域为横、课程内容梯度为纵建立了难度逐级提升的本研融通的专业进阶课程体系。为鼓励学生挑战自我，相关基础化学课程设置免修制度，免修考试通过后可直接修读后续高阶理论课程。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以先导、进阶、专攻为特色的三阶段科研训练体系。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3657600" cy="2336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23368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（17学分,本科要求17学分）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（2学分,本科要求2学分）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w:t>
            </w:r>
            <w:r>
              <w:br/>
            </w:r>
            <w:r>
              <w:br/>
            </w:r>
            <w:r>
              <w:rPr>
                <w:rFonts w:ascii="SimSun" w:hAnsi="SimSun"/>
                <w:b w:val="false"/>
                <w:i w:val="false"/>
                <w:color w:val="000000"/>
                <w:sz w:val="21"/>
              </w:rPr>
              <w:t>Marxism in China and Contemporary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中国马克思主义与当代（文科）</w:t>
            </w:r>
            <w:r>
              <w:br/>
            </w:r>
            <w:r>
              <w:br/>
            </w:r>
            <w:r>
              <w:rPr>
                <w:rFonts w:ascii="SimSun" w:hAnsi="SimSun"/>
                <w:b w:val="false"/>
                <w:i w:val="false"/>
                <w:color w:val="000000"/>
                <w:sz w:val="21"/>
              </w:rPr>
              <w:t>Marxism in China and in Contemporary Times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必选6学分(每模块≤1门，但通识微课不设门数限制)。选修第五模块“科学探索与技术创新”的课程不计入七大模块6学分中。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（0学分,本科要求1学分）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（4学分,本科要求4学分）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（3学分,本科要求3学分）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B1类课程</w:t>
      </w:r>
      <w:r>
        <w:rPr>
          <w:rFonts w:ascii="SimSun" w:hAnsi="SimSun"/>
          <w:b/>
          <w:i w:val="false"/>
          <w:color w:val="000000"/>
          <w:sz w:val="21"/>
        </w:rPr>
        <w:t>（3学分,本科要求3学分）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人工智能基础</w:t>
            </w:r>
            <w:r>
              <w:br/>
            </w:r>
            <w:r>
              <w:br/>
            </w:r>
            <w:r>
              <w:rPr>
                <w:rFonts w:ascii="SimSun" w:hAnsi="SimSun"/>
                <w:b w:val="false"/>
                <w:i w:val="false"/>
                <w:color w:val="000000"/>
                <w:sz w:val="21"/>
              </w:rPr>
              <w:t>Artificial Intelligence Fundamentals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生成式软件开发</w:t>
            </w:r>
            <w:r>
              <w:br/>
            </w:r>
            <w:r>
              <w:br/>
            </w:r>
            <w:r>
              <w:rPr>
                <w:rFonts w:ascii="SimSun" w:hAnsi="SimSun"/>
                <w:b w:val="false"/>
                <w:i w:val="false"/>
                <w:color w:val="000000"/>
                <w:sz w:val="21"/>
              </w:rPr>
              <w:t>Generative Software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AIB110005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计算与智能概论A</w:t>
            </w:r>
            <w:r>
              <w:br/>
            </w:r>
            <w:r>
              <w:br/>
            </w:r>
            <w:r>
              <w:rPr>
                <w:rFonts w:ascii="SimSun" w:hAnsi="SimSun"/>
                <w:b w:val="false"/>
                <w:i w:val="false"/>
                <w:color w:val="000000"/>
                <w:sz w:val="21"/>
              </w:rPr>
              <w:t>Fundamentals of Computing and Intelligence A</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（4学分,本科要求4学分）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（4学分,本科要求4学分）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军事理论</w:t>
            </w:r>
            <w:r>
              <w:br/>
            </w:r>
            <w:r>
              <w:br/>
            </w:r>
            <w:r>
              <w:rPr>
                <w:rFonts w:ascii="SimSun" w:hAnsi="SimSun"/>
                <w:b w:val="false"/>
                <w:i w:val="false"/>
                <w:color w:val="000000"/>
                <w:sz w:val="21"/>
              </w:rPr>
              <w:t>Military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GEND10001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军事技能</w:t>
            </w:r>
            <w:r>
              <w:br/>
            </w:r>
            <w:r>
              <w:br/>
            </w:r>
            <w:r>
              <w:rPr>
                <w:rFonts w:ascii="SimSun" w:hAnsi="SimSun"/>
                <w:b w:val="false"/>
                <w:i w:val="false"/>
                <w:color w:val="000000"/>
                <w:sz w:val="21"/>
              </w:rPr>
              <w:t>Military Skills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GEND10002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（1学分,本科要求1学分）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要求修读60学分（部分课程可用荣誉课程替代，多选学分可转入专业进阶化学课程池学分）。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（49学分,本科要求49学分）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化学生物学基础</w:t>
            </w:r>
            <w:r>
              <w:br/>
            </w:r>
            <w:r>
              <w:br/>
            </w:r>
            <w:r>
              <w:rPr>
                <w:rFonts w:ascii="SimSun" w:hAnsi="SimSun"/>
                <w:b w:val="false"/>
                <w:i w:val="false"/>
                <w:color w:val="000000"/>
                <w:sz w:val="21"/>
              </w:rPr>
              <w:t>Basic Chemical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本研贯通课程</w:t>
      </w:r>
      <w:r>
        <w:rPr>
          <w:rFonts w:ascii="SimSun" w:hAnsi="SimSun"/>
          <w:b/>
          <w:i w:val="false"/>
          <w:color w:val="000000"/>
          <w:sz w:val="21"/>
        </w:rPr>
        <w:t>（9学分,本科要求3学分）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须修读至少3门，部分课程可修读对应荣誉课程进行替代，多选学分可转入专业进阶化学课程池学分。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高等结构分析</w:t>
            </w:r>
            <w:r>
              <w:br/>
            </w:r>
            <w:r>
              <w:br/>
            </w:r>
            <w:r>
              <w:rPr>
                <w:rFonts w:ascii="SimSun" w:hAnsi="SimSun"/>
                <w:b w:val="false"/>
                <w:i w:val="false"/>
                <w:color w:val="000000"/>
                <w:sz w:val="21"/>
              </w:rPr>
              <w:t>Advanced Analysis for Molecular Structure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限定必修课程</w:t>
      </w:r>
      <w:r>
        <w:rPr>
          <w:rFonts w:ascii="SimSun" w:hAnsi="SimSun"/>
          <w:b/>
          <w:i w:val="false"/>
          <w:color w:val="000000"/>
          <w:sz w:val="21"/>
        </w:rPr>
        <w:t>（2学分,本科要求2学分）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化学+AI融合课程，需修读至少1门，多选学分可转入专业进阶化学课程池学分。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人工智能在化学中的应用</w:t>
            </w:r>
            <w:r>
              <w:br/>
            </w:r>
            <w:r>
              <w:br/>
            </w:r>
            <w:r>
              <w:rPr>
                <w:rFonts w:ascii="SimSun" w:hAnsi="SimSun"/>
                <w:b w:val="false"/>
                <w:i w:val="false"/>
                <w:color w:val="000000"/>
                <w:sz w:val="21"/>
              </w:rPr>
              <w:t>Application of Artificial Intelligence in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须在以下两个课程池内修读20学分，同时满足以下条件：1. 修读课程难度系数在5及以上的课程大于等于8学分；2.在理工核心课程池中修读不少于9学分。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（20学分,本科要求11学分）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化学进阶课程池</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0"/>
        <w:gridCol w:w="2723"/>
        <w:gridCol w:w="677"/>
        <w:gridCol w:w="678"/>
        <w:gridCol w:w="946"/>
        <w:gridCol w:w="1569"/>
        <w:gridCol w:w="680"/>
        <w:gridCol w:w="677"/>
        <w:gridCol w:w="677"/>
        <w:gridCol w:w="677"/>
        <w:gridCol w:w="948"/>
        <w:gridCol w:w="1352"/>
      </w:tblGrid>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无机/材料类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新型无机材料</w:t>
            </w:r>
            <w:r>
              <w:br/>
            </w:r>
            <w:r>
              <w:br/>
            </w:r>
            <w:r>
              <w:rPr>
                <w:rFonts w:ascii="SimSun" w:hAnsi="SimSun"/>
                <w:b w:val="false"/>
                <w:i w:val="false"/>
                <w:color w:val="000000"/>
                <w:sz w:val="21"/>
              </w:rPr>
              <w:t>Novel Inorganic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光电功能材料</w:t>
            </w:r>
            <w:r>
              <w:br/>
            </w:r>
            <w:r>
              <w:br/>
            </w:r>
            <w:r>
              <w:rPr>
                <w:rFonts w:ascii="SimSun" w:hAnsi="SimSun"/>
                <w:b w:val="false"/>
                <w:i w:val="false"/>
                <w:color w:val="000000"/>
                <w:sz w:val="21"/>
              </w:rPr>
              <w:t>Optoelectronic Functional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分子组装与分子器件</w:t>
            </w:r>
            <w:r>
              <w:br/>
            </w:r>
            <w:r>
              <w:br/>
            </w:r>
            <w:r>
              <w:rPr>
                <w:rFonts w:ascii="SimSun" w:hAnsi="SimSun"/>
                <w:b w:val="false"/>
                <w:i w:val="false"/>
                <w:color w:val="000000"/>
                <w:sz w:val="21"/>
              </w:rPr>
              <w:t>Molecular Assembly and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配位化学</w:t>
            </w:r>
            <w:r>
              <w:br/>
            </w:r>
            <w:r>
              <w:br/>
            </w:r>
            <w:r>
              <w:rPr>
                <w:rFonts w:ascii="SimSun" w:hAnsi="SimSun"/>
                <w:b w:val="false"/>
                <w:i w:val="false"/>
                <w:color w:val="000000"/>
                <w:sz w:val="21"/>
              </w:rPr>
              <w:t>Coordination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元素化学</w:t>
            </w:r>
            <w:r>
              <w:br/>
            </w:r>
            <w:r>
              <w:br/>
            </w:r>
            <w:r>
              <w:rPr>
                <w:rFonts w:ascii="SimSun" w:hAnsi="SimSun"/>
                <w:b w:val="false"/>
                <w:i w:val="false"/>
                <w:color w:val="000000"/>
                <w:sz w:val="21"/>
              </w:rPr>
              <w:t>Elements of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金属有机化学的研究方法和策略</w:t>
            </w:r>
            <w:r>
              <w:br/>
            </w:r>
            <w:r>
              <w:br/>
            </w:r>
            <w:r>
              <w:rPr>
                <w:rFonts w:ascii="SimSun" w:hAnsi="SimSun"/>
                <w:b w:val="false"/>
                <w:i w:val="false"/>
                <w:color w:val="000000"/>
                <w:sz w:val="21"/>
              </w:rPr>
              <w:t>Research Techniques and Strategies on 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碳簇化学</w:t>
            </w:r>
            <w:r>
              <w:br/>
            </w:r>
            <w:r>
              <w:br/>
            </w:r>
            <w:r>
              <w:rPr>
                <w:rFonts w:ascii="SimSun" w:hAnsi="SimSun"/>
                <w:b w:val="false"/>
                <w:i w:val="false"/>
                <w:color w:val="000000"/>
                <w:sz w:val="21"/>
              </w:rPr>
              <w:t>Carbon Cluster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无机合成</w:t>
            </w:r>
            <w:r>
              <w:br/>
            </w:r>
            <w:r>
              <w:br/>
            </w:r>
            <w:r>
              <w:rPr>
                <w:rFonts w:ascii="SimSun" w:hAnsi="SimSun"/>
                <w:b w:val="false"/>
                <w:i w:val="false"/>
                <w:color w:val="000000"/>
                <w:sz w:val="21"/>
              </w:rPr>
              <w:t>Inorganic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稀土化学</w:t>
            </w:r>
            <w:r>
              <w:br/>
            </w:r>
            <w:r>
              <w:br/>
            </w:r>
            <w:r>
              <w:rPr>
                <w:rFonts w:ascii="SimSun" w:hAnsi="SimSun"/>
                <w:b w:val="false"/>
                <w:i w:val="false"/>
                <w:color w:val="000000"/>
                <w:sz w:val="21"/>
              </w:rPr>
              <w:t>Chemistry of Rare Earth Elementals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物化/能源类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胶体化学</w:t>
            </w:r>
            <w:r>
              <w:br/>
            </w:r>
            <w:r>
              <w:br/>
            </w:r>
            <w:r>
              <w:rPr>
                <w:rFonts w:ascii="SimSun" w:hAnsi="SimSun"/>
                <w:b w:val="false"/>
                <w:i w:val="false"/>
                <w:color w:val="000000"/>
                <w:sz w:val="21"/>
              </w:rPr>
              <w:t>Colloid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现代化学专题（能源化学）</w:t>
            </w:r>
            <w:r>
              <w:br/>
            </w:r>
            <w:r>
              <w:br/>
            </w:r>
            <w:r>
              <w:rPr>
                <w:rFonts w:ascii="SimSun" w:hAnsi="SimSun"/>
                <w:b w:val="false"/>
                <w:i w:val="false"/>
                <w:color w:val="000000"/>
                <w:sz w:val="21"/>
              </w:rPr>
              <w:t>Topics on Modern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有机合成及反应机理</w:t>
            </w:r>
            <w:r>
              <w:br/>
            </w:r>
            <w:r>
              <w:br/>
            </w:r>
            <w:r>
              <w:rPr>
                <w:rFonts w:ascii="SimSun" w:hAnsi="SimSun"/>
                <w:b w:val="false"/>
                <w:i w:val="false"/>
                <w:color w:val="000000"/>
                <w:sz w:val="21"/>
              </w:rPr>
              <w:t>Organic Synthesis and Reaction Mechanism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天然产物全合成赏析</w:t>
            </w:r>
            <w:r>
              <w:br/>
            </w:r>
            <w:r>
              <w:br/>
            </w:r>
            <w:r>
              <w:rPr>
                <w:rFonts w:ascii="SimSun" w:hAnsi="SimSun"/>
                <w:b w:val="false"/>
                <w:i w:val="false"/>
                <w:color w:val="000000"/>
                <w:sz w:val="21"/>
              </w:rPr>
              <w:t>Appreciative Analysis of the Science and Art of Total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有机结构的探秘和解析</w:t>
            </w:r>
            <w:r>
              <w:br/>
            </w:r>
            <w:r>
              <w:br/>
            </w:r>
            <w:r>
              <w:rPr>
                <w:rFonts w:ascii="SimSun" w:hAnsi="SimSun"/>
                <w:b w:val="false"/>
                <w:i w:val="false"/>
                <w:color w:val="000000"/>
                <w:sz w:val="21"/>
              </w:rPr>
              <w:t>Exploration and Analysis of Organic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不对称合成化学</w:t>
            </w:r>
            <w:r>
              <w:br/>
            </w:r>
            <w:r>
              <w:br/>
            </w:r>
            <w:r>
              <w:rPr>
                <w:rFonts w:ascii="SimSun" w:hAnsi="SimSun"/>
                <w:b w:val="false"/>
                <w:i w:val="false"/>
                <w:color w:val="000000"/>
                <w:sz w:val="21"/>
              </w:rPr>
              <w:t>Asymmetric Synthetic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物理有机化学</w:t>
            </w:r>
            <w:r>
              <w:br/>
            </w:r>
            <w:r>
              <w:br/>
            </w:r>
            <w:r>
              <w:rPr>
                <w:rFonts w:ascii="SimSun" w:hAnsi="SimSun"/>
                <w:b w:val="false"/>
                <w:i w:val="false"/>
                <w:color w:val="000000"/>
                <w:sz w:val="21"/>
              </w:rPr>
              <w:t>Physical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w:t>
            </w:r>
            <w:r>
              <w:br/>
            </w:r>
            <w:r>
              <w:br/>
            </w:r>
            <w:r>
              <w:rPr>
                <w:rFonts w:ascii="SimSun" w:hAnsi="SimSun"/>
                <w:b w:val="false"/>
                <w:i w:val="false"/>
                <w:color w:val="000000"/>
                <w:sz w:val="21"/>
              </w:rPr>
              <w:t>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Organic Structure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近代分析化学</w:t>
            </w:r>
            <w:r>
              <w:br/>
            </w:r>
            <w:r>
              <w:br/>
            </w:r>
            <w:r>
              <w:rPr>
                <w:rFonts w:ascii="SimSun" w:hAnsi="SimSun"/>
                <w:b w:val="false"/>
                <w:i w:val="false"/>
                <w:color w:val="000000"/>
                <w:sz w:val="21"/>
              </w:rPr>
              <w:t>Experiments in Modern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环境化学B</w:t>
            </w:r>
            <w:r>
              <w:br/>
            </w:r>
            <w:r>
              <w:br/>
            </w:r>
            <w:r>
              <w:rPr>
                <w:rFonts w:ascii="SimSun" w:hAnsi="SimSun"/>
                <w:b w:val="false"/>
                <w:i w:val="false"/>
                <w:color w:val="000000"/>
                <w:sz w:val="21"/>
              </w:rPr>
              <w:t>Environmental Chemistry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微流控生命分析</w:t>
            </w:r>
            <w:r>
              <w:br/>
            </w:r>
            <w:r>
              <w:br/>
            </w:r>
            <w:r>
              <w:rPr>
                <w:rFonts w:ascii="SimSun" w:hAnsi="SimSun"/>
                <w:b w:val="false"/>
                <w:i w:val="false"/>
                <w:color w:val="000000"/>
                <w:sz w:val="21"/>
              </w:rPr>
              <w:t>Microfluidic Bio-analysis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探究性仪器分析实验</w:t>
            </w:r>
            <w:r>
              <w:br/>
            </w:r>
            <w:r>
              <w:br/>
            </w:r>
            <w:r>
              <w:rPr>
                <w:rFonts w:ascii="SimSun" w:hAnsi="SimSun"/>
                <w:b w:val="false"/>
                <w:i w:val="false"/>
                <w:color w:val="000000"/>
                <w:sz w:val="21"/>
              </w:rPr>
              <w:t>Exploratory Instrumental Analysis Experiment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生物质谱仪器和质谱分析</w:t>
            </w:r>
            <w:r>
              <w:br/>
            </w:r>
            <w:r>
              <w:br/>
            </w:r>
            <w:r>
              <w:rPr>
                <w:rFonts w:ascii="SimSun" w:hAnsi="SimSun"/>
                <w:b w:val="false"/>
                <w:i w:val="false"/>
                <w:color w:val="000000"/>
                <w:sz w:val="21"/>
              </w:rPr>
              <w:t>Bio-Mass Spectrometer &amp; Spectrometry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生物色谱</w:t>
            </w:r>
            <w:r>
              <w:br/>
            </w:r>
            <w:r>
              <w:br/>
            </w:r>
            <w:r>
              <w:rPr>
                <w:rFonts w:ascii="SimSun" w:hAnsi="SimSun"/>
                <w:b w:val="false"/>
                <w:i w:val="false"/>
                <w:color w:val="000000"/>
                <w:sz w:val="21"/>
              </w:rPr>
              <w:t>Biochromatography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化工/应化类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化学反应工程</w:t>
            </w:r>
            <w:r>
              <w:br/>
            </w:r>
            <w:r>
              <w:br/>
            </w:r>
            <w:r>
              <w:rPr>
                <w:rFonts w:ascii="SimSun" w:hAnsi="SimSun"/>
                <w:b w:val="false"/>
                <w:i w:val="false"/>
                <w:color w:val="000000"/>
                <w:sz w:val="21"/>
              </w:rPr>
              <w:t>Chemical Reaction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工业化学</w:t>
            </w:r>
            <w:r>
              <w:br/>
            </w:r>
            <w:r>
              <w:br/>
            </w:r>
            <w:r>
              <w:rPr>
                <w:rFonts w:ascii="SimSun" w:hAnsi="SimSun"/>
                <w:b w:val="false"/>
                <w:i w:val="false"/>
                <w:color w:val="000000"/>
                <w:sz w:val="21"/>
              </w:rPr>
              <w:t>Industrial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化工制图</w:t>
            </w:r>
            <w:r>
              <w:br/>
            </w:r>
            <w:r>
              <w:br/>
            </w:r>
            <w:r>
              <w:rPr>
                <w:rFonts w:ascii="SimSun" w:hAnsi="SimSun"/>
                <w:b w:val="false"/>
                <w:i w:val="false"/>
                <w:color w:val="000000"/>
                <w:sz w:val="21"/>
              </w:rPr>
              <w:t>Cartography for Chemical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应用化学专题</w:t>
            </w:r>
            <w:r>
              <w:br/>
            </w:r>
            <w:r>
              <w:br/>
            </w:r>
            <w:r>
              <w:rPr>
                <w:rFonts w:ascii="SimSun" w:hAnsi="SimSun"/>
                <w:b w:val="false"/>
                <w:i w:val="false"/>
                <w:color w:val="000000"/>
                <w:sz w:val="21"/>
              </w:rPr>
              <w:t>Special Subjects in Applied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化生类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生命中的化学</w:t>
            </w:r>
            <w:r>
              <w:br/>
            </w:r>
            <w:r>
              <w:br/>
            </w:r>
            <w:r>
              <w:rPr>
                <w:rFonts w:ascii="SimSun" w:hAnsi="SimSun"/>
                <w:b w:val="false"/>
                <w:i w:val="false"/>
                <w:color w:val="000000"/>
                <w:sz w:val="21"/>
              </w:rPr>
              <w:t>Chemistry in Life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单分子科学原理与模型</w:t>
            </w:r>
            <w:r>
              <w:br/>
            </w:r>
            <w:r>
              <w:br/>
            </w:r>
            <w:r>
              <w:rPr>
                <w:rFonts w:ascii="SimSun" w:hAnsi="SimSun"/>
                <w:b w:val="false"/>
                <w:i w:val="false"/>
                <w:color w:val="000000"/>
                <w:sz w:val="21"/>
              </w:rPr>
              <w:t>Single Molecule Science: Models and Principles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蛋白质与蛋白组分析：从蛋白质提取到质谱分析及其在生命科学和生物技术中的应用</w:t>
            </w:r>
            <w:r>
              <w:br/>
            </w:r>
            <w:r>
              <w:br/>
            </w:r>
            <w:r>
              <w:rPr>
                <w:rFonts w:ascii="SimSun" w:hAnsi="SimSun"/>
                <w:b w:val="false"/>
                <w:i w:val="false"/>
                <w:color w:val="000000"/>
                <w:sz w:val="21"/>
              </w:rPr>
              <w:t>Protein and Proteomeanalysis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数理统计方法在化学中的应用</w:t>
            </w:r>
            <w:r>
              <w:br/>
            </w:r>
            <w:r>
              <w:br/>
            </w:r>
            <w:r>
              <w:rPr>
                <w:rFonts w:ascii="SimSun" w:hAnsi="SimSun"/>
                <w:b w:val="false"/>
                <w:i w:val="false"/>
                <w:color w:val="000000"/>
                <w:sz w:val="21"/>
              </w:rPr>
              <w:t>Mathematical Statistics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化学+AI</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AI在有机化学中的应用</w:t>
            </w:r>
            <w:r>
              <w:br/>
            </w:r>
            <w:r>
              <w:br/>
            </w:r>
            <w:r>
              <w:rPr>
                <w:rFonts w:ascii="SimSun" w:hAnsi="SimSun"/>
                <w:b w:val="false"/>
                <w:i w:val="false"/>
                <w:color w:val="000000"/>
                <w:sz w:val="21"/>
              </w:rPr>
              <w:t>The Application of AI in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化学信息学</w:t>
            </w:r>
            <w:r>
              <w:br/>
            </w:r>
            <w:r>
              <w:br/>
            </w:r>
            <w:r>
              <w:rPr>
                <w:rFonts w:ascii="SimSun" w:hAnsi="SimSun"/>
                <w:b w:val="false"/>
                <w:i w:val="false"/>
                <w:color w:val="000000"/>
                <w:sz w:val="21"/>
              </w:rPr>
              <w:t>Chemical Informatics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化学专业英语</w:t>
            </w:r>
            <w:r>
              <w:br/>
            </w:r>
            <w:r>
              <w:br/>
            </w:r>
            <w:r>
              <w:rPr>
                <w:rFonts w:ascii="SimSun" w:hAnsi="SimSun"/>
                <w:b w:val="false"/>
                <w:i w:val="false"/>
                <w:color w:val="000000"/>
                <w:sz w:val="21"/>
              </w:rPr>
              <w:t>English for Chemistry Majors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电子显微基础与实验</w:t>
            </w:r>
            <w:r>
              <w:br/>
            </w:r>
            <w:r>
              <w:br/>
            </w:r>
            <w:r>
              <w:rPr>
                <w:rFonts w:ascii="SimSun" w:hAnsi="SimSun"/>
                <w:b w:val="false"/>
                <w:i w:val="false"/>
                <w:color w:val="000000"/>
                <w:sz w:val="21"/>
              </w:rPr>
              <w:t>Basics and Experiments of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X-射线衍射分析技术</w:t>
            </w:r>
            <w:r>
              <w:br/>
            </w:r>
            <w:r>
              <w:br/>
            </w:r>
            <w:r>
              <w:rPr>
                <w:rFonts w:ascii="SimSun" w:hAnsi="SimSun"/>
                <w:b w:val="false"/>
                <w:i w:val="false"/>
                <w:color w:val="000000"/>
                <w:sz w:val="21"/>
              </w:rPr>
              <w:t>X-Ray Diffraction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XPS技术及其在化学中的应用</w:t>
            </w:r>
            <w:r>
              <w:br/>
            </w:r>
            <w:r>
              <w:br/>
            </w:r>
            <w:r>
              <w:rPr>
                <w:rFonts w:ascii="SimSun" w:hAnsi="SimSun"/>
                <w:b w:val="false"/>
                <w:i w:val="false"/>
                <w:color w:val="000000"/>
                <w:sz w:val="21"/>
              </w:rPr>
              <w:t>XPS and Its Applications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固体核磁共振谱学</w:t>
            </w:r>
            <w:r>
              <w:br/>
            </w:r>
            <w:r>
              <w:br/>
            </w:r>
            <w:r>
              <w:rPr>
                <w:rFonts w:ascii="SimSun" w:hAnsi="SimSun"/>
                <w:b w:val="false"/>
                <w:i w:val="false"/>
                <w:color w:val="000000"/>
                <w:sz w:val="21"/>
              </w:rPr>
              <w:t>Solid-State NMR Spectroscopy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CHEM60028</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理工核心课程池</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注：对于开设荣誉课程的课程，可选修对应的荣誉课程，并按荣誉课程学分计入理工核心课程池模块。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   各专业荣誉课程清单可参见教务处网站：https://jwc.fudan.edu.cn/（复旦大学教务处）专业培养-常用文档-本科荣誉项目实施方案。
      </w:t>
      </w:r>
    </w:p>
    <w:tbl>
      <w:tblPr>
        <w:tblW w:w="0" w:type="auto"/>
        <w:tblCellSpacing w:w="0" w:type="auto"/>
        <w:tblBorders>
          <w:top w:val="none"/>
          <w:left w:val="none"/>
          <w:bottom w:val="none"/>
          <w:right w:val="none"/>
          <w:insideH w:val="none"/>
          <w:insideV w:val="none"/>
        </w:tblBorders>
      </w:tblPr>
      <w:tblGrid>
        <w:gridCol w:w="2014"/>
        <w:gridCol w:w="2710"/>
        <w:gridCol w:w="675"/>
        <w:gridCol w:w="677"/>
        <w:gridCol w:w="933"/>
        <w:gridCol w:w="1663"/>
        <w:gridCol w:w="678"/>
        <w:gridCol w:w="670"/>
        <w:gridCol w:w="674"/>
        <w:gridCol w:w="670"/>
        <w:gridCol w:w="936"/>
        <w:gridCol w:w="1334"/>
      </w:tblGrid>
      <w:tr>
        <w:trPr>
          <w:trHeight w:val="45" w:hRule="atLeast"/>
        </w:trPr>
        <w:tc>
          <w:tcPr>
            <w:tcW w:w="2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数据科学的逼近论基础</w:t>
            </w:r>
            <w:r>
              <w:br/>
            </w:r>
            <w:r>
              <w:br/>
            </w:r>
            <w:r>
              <w:rPr>
                <w:rFonts w:ascii="SimSun" w:hAnsi="SimSun"/>
                <w:b w:val="false"/>
                <w:i w:val="false"/>
                <w:color w:val="000000"/>
                <w:sz w:val="21"/>
              </w:rPr>
              <w:t>Approximation Theory in Data Sciences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普通生物学实验</w:t>
            </w:r>
            <w:r>
              <w:br/>
            </w:r>
            <w:r>
              <w:br/>
            </w:r>
            <w:r>
              <w:rPr>
                <w:rFonts w:ascii="SimSun" w:hAnsi="SimSun"/>
                <w:b w:val="false"/>
                <w:i w:val="false"/>
                <w:color w:val="000000"/>
                <w:sz w:val="21"/>
              </w:rPr>
              <w:t>Experiment of General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GEEC10037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微电子</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相辉学堂</w:t>
            </w:r>
          </w:p>
        </w:tc>
        <w:tc>
          <w:tcPr>
            <w:tcW w:w="2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复杂科学前沿与创新</w:t>
            </w:r>
            <w:r>
              <w:br/>
            </w:r>
            <w:r>
              <w:br/>
            </w:r>
            <w:r>
              <w:rPr>
                <w:rFonts w:ascii="SimSun" w:hAnsi="SimSun"/>
                <w:b w:val="false"/>
                <w:i w:val="false"/>
                <w:color w:val="000000"/>
                <w:sz w:val="21"/>
              </w:rPr>
              <w:t>Frontiers and Innovation in Complexity Science</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PHYS30024</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满足专业进阶路径的同时，要求修读荣誉课程不低于24学分（不少于6门课）。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满足专业进阶路径的同时，要求修读1个非本专业独立开设的创新创业学程（15学分）。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满足专业进阶路径的同时，完成1个非本专业独立开设的辅修学士学位项目。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相辉学堂实践模块课程中修读至少5学分（其中“科研实践”可通过申请“复芏计划”完成，具体根据院系通知）。对于本科毕业论文，通过第一学段考核的学生可以将“复芏计划”成果作为论文主要内容，完成论文写作后获得2学分。未通过第一学段考核的同学，毕业论文要求请见本科培养方案（相辉计划）。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切问近思</w:t>
            </w:r>
            <w:r>
              <w:br/>
            </w:r>
            <w:r>
              <w:br/>
            </w:r>
            <w:r>
              <w:rPr>
                <w:rFonts w:ascii="SimSun" w:hAnsi="SimSun"/>
                <w:b w:val="false"/>
                <w:i w:val="false"/>
                <w:color w:val="000000"/>
                <w:sz w:val="21"/>
              </w:rPr>
              <w:t>Introduction to Scientific Research</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相辉学堂实践模块1：科研实践先导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化学前沿专题</w:t>
            </w:r>
            <w:r>
              <w:br/>
            </w:r>
            <w:r>
              <w:br/>
            </w:r>
            <w:r>
              <w:rPr>
                <w:rFonts w:ascii="SimSun" w:hAnsi="SimSun"/>
                <w:b w:val="false"/>
                <w:i w:val="false"/>
                <w:color w:val="000000"/>
                <w:sz w:val="21"/>
              </w:rPr>
              <w:t>Frontiers in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相辉学堂实践模块1：科研实践先导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综合化学实验I</w:t>
            </w:r>
            <w:r>
              <w:br/>
            </w:r>
            <w:r>
              <w:br/>
            </w:r>
            <w:r>
              <w:rPr>
                <w:rFonts w:ascii="SimSun" w:hAnsi="SimSun"/>
                <w:b w:val="false"/>
                <w:i w:val="false"/>
                <w:color w:val="000000"/>
                <w:sz w:val="21"/>
              </w:rPr>
              <w:t>Comprehensive Chemistry Laboratory Course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相辉学堂实践模块2：科研实践进阶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Scientific Research Practice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相辉学堂实践模块2：科研实践进阶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科学英语写作</w:t>
            </w:r>
            <w:r>
              <w:br/>
            </w:r>
            <w:r>
              <w:br/>
            </w:r>
            <w:r>
              <w:rPr>
                <w:rFonts w:ascii="SimSun" w:hAnsi="SimSun"/>
                <w:b w:val="false"/>
                <w:i w:val="false"/>
                <w:color w:val="000000"/>
                <w:sz w:val="21"/>
              </w:rPr>
              <w:t>Scientific English writing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相辉学堂实践模块2：科研实践进阶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相辉学堂实践模块3：相辉前沿</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可将“复芏计划”成果作为论文主要内容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化学实验室安全</w:t>
            </w:r>
            <w:r>
              <w:br/>
            </w:r>
            <w:r>
              <w:br/>
            </w:r>
            <w:r>
              <w:rPr>
                <w:rFonts w:ascii="SimSun" w:hAnsi="SimSun"/>
                <w:b w:val="false"/>
                <w:i w:val="false"/>
                <w:color w:val="000000"/>
                <w:sz w:val="21"/>
              </w:rPr>
              <w:t>Chemistry Laboratory Safety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专业外语：可修读1门全英语的研究生课程替代</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需要承担1项复芏计划（FDUROP）项目，详见复旦大学本科生学术研究资助计划管理办法。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博士论文开题在第10学期完成，详见化学系博士论文开题实施细则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博士生资格考核，在第10学期完成（4~6年级期间有2次申请机会)</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博士生中期考核，在第12学期完成，详见化学系博士中期考核实施细则。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助教助管</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至少1次助教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化学系“近思”、“笃志”、“光华化学”三大论坛，具体要求根据化学系研究生教务通知。</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