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2025新闻学-国际政治（全球领导力方向）双学士学位项目本科培养方案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致力于培养政治立场坚定、方向正确，兼具新闻学与国际政治双重卓越素养的应用型、创新型、复合型精英人才。学生需筑牢扎实的科学素养根基，厚植深厚的人文社会科学底蕴，系统掌握新闻传播学专业知识体系，涵盖新闻采写编评、媒介经营管理、新闻法规伦理等领域，熟稔新闻传播全流程运作规律；同时，要求学生掌握马克思主义基本原理和政治学、国际政治的基本理论、基本知识；受到国际政治和国际形势研究、社会调查与统计等方面的基本训练，具有调查研究、分析判断和协调组织等方面的基本能力；了解我国对外方针政策、法规以及国际组织；了解国际政治理论前沿和国际关系、世界经济的发展动态，具备一定的科学研究能力和较强的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3691467" cy="94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91467" cy="9482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437467"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37467" cy="1354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1、专业进阶路径：165学分                                                                </w:t>
      </w:r>
    </w:p>
    <w:p>
      <w:pPr>
        <w:spacing w:after="0"/>
        <w:ind w:left="0"/>
        <w:jc w:val="left"/>
      </w:pPr>
      <w:r>
        <w:rPr>
          <w:rFonts w:ascii="SimSun" w:hAnsi="SimSun"/>
          <w:b w:val="false"/>
          <w:i w:val="false"/>
          <w:color w:val="000000"/>
          <w:sz w:val="21"/>
        </w:rPr>
        <w:t>本路径学生需要完成165学分（含实践学分不低于26学分；含美育学分不少于2学分，其中至少在“美学和艺术史论类”或“艺术鉴赏和评论类”课程中修读1学分，并至少参与一项艺术实践活动；劳动教育不少于32学时，并满足劳动周教育要求），包括通识教育课程43学分、专业培养课程82学分、专业进阶模块30学分、融合创新能力培养10学分。</w:t>
      </w:r>
    </w:p>
    <w:p>
      <w:pPr>
        <w:spacing w:after="0"/>
        <w:ind w:left="0"/>
        <w:jc w:val="left"/>
      </w:pPr>
      <w:r>
        <w:rPr>
          <w:rFonts w:ascii="SimSun" w:hAnsi="SimSun"/>
          <w:b w:val="false"/>
          <w:i w:val="false"/>
          <w:color w:val="000000"/>
          <w:sz w:val="21"/>
        </w:rPr>
        <w:t xml:space="preserve">2、本科荣誉项目：165学分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3、跨学科发展路径：167学分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4年级结束时，如达到学士学位要求者授予文学、法学学士学位。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跨文化与国际交流</w:t>
            </w:r>
            <w:r>
              <w:br/>
            </w:r>
            <w:r>
              <w:br/>
            </w:r>
            <w:r>
              <w:rPr>
                <w:rFonts w:ascii="SimSun" w:hAnsi="SimSun"/>
                <w:b w:val="false"/>
                <w:i w:val="false"/>
                <w:color w:val="000000"/>
                <w:sz w:val="21"/>
              </w:rPr>
              <w:t>Intercultural and International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国际组织概论</w:t>
            </w:r>
            <w:r>
              <w:br/>
            </w:r>
            <w:r>
              <w:br/>
            </w:r>
            <w:r>
              <w:rPr>
                <w:rFonts w:ascii="SimSun" w:hAnsi="SimSun"/>
                <w:b w:val="false"/>
                <w:i w:val="false"/>
                <w:color w:val="000000"/>
                <w:sz w:val="21"/>
              </w:rPr>
              <w:t>International organization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修满30学分。要求在专业进阶模块中修读30学分，其中专业进阶模块I修读16学分、专业进阶模块II修读14学分。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中国与全球治理</w:t>
            </w:r>
            <w:r>
              <w:br/>
            </w:r>
            <w:r>
              <w:br/>
            </w:r>
            <w:r>
              <w:rPr>
                <w:rFonts w:ascii="SimSun" w:hAnsi="SimSun"/>
                <w:b w:val="false"/>
                <w:i w:val="false"/>
                <w:color w:val="000000"/>
                <w:sz w:val="21"/>
              </w:rPr>
              <w:t>China and Global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能源与国际关系</w:t>
            </w:r>
            <w:r>
              <w:br/>
            </w:r>
            <w:r>
              <w:br/>
            </w:r>
            <w:r>
              <w:rPr>
                <w:rFonts w:ascii="SimSun" w:hAnsi="SimSun"/>
                <w:b w:val="false"/>
                <w:i w:val="false"/>
                <w:color w:val="000000"/>
                <w:sz w:val="21"/>
              </w:rPr>
              <w:t>Energy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环境与国际关系</w:t>
            </w:r>
            <w:r>
              <w:br/>
            </w:r>
            <w:r>
              <w:br/>
            </w:r>
            <w:r>
              <w:rPr>
                <w:rFonts w:ascii="SimSun" w:hAnsi="SimSun"/>
                <w:b w:val="false"/>
                <w:i w:val="false"/>
                <w:color w:val="000000"/>
                <w:sz w:val="21"/>
              </w:rPr>
              <w:t>Environment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贸易与国际关系</w:t>
            </w:r>
            <w:r>
              <w:br/>
            </w:r>
            <w:r>
              <w:br/>
            </w:r>
            <w:r>
              <w:rPr>
                <w:rFonts w:ascii="SimSun" w:hAnsi="SimSun"/>
                <w:b w:val="false"/>
                <w:i w:val="false"/>
                <w:color w:val="000000"/>
                <w:sz w:val="21"/>
              </w:rPr>
              <w:t>Trade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全球卫生与国际关系</w:t>
            </w:r>
            <w:r>
              <w:br/>
            </w:r>
            <w:r>
              <w:br/>
            </w:r>
            <w:r>
              <w:rPr>
                <w:rFonts w:ascii="SimSun" w:hAnsi="SimSun"/>
                <w:b w:val="false"/>
                <w:i w:val="false"/>
                <w:color w:val="000000"/>
                <w:sz w:val="21"/>
              </w:rPr>
              <w:t>Global Health and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国际秩序专题研究</w:t>
            </w:r>
            <w:r>
              <w:br/>
            </w:r>
            <w:r>
              <w:br/>
            </w:r>
            <w:r>
              <w:rPr>
                <w:rFonts w:ascii="SimSun" w:hAnsi="SimSun"/>
                <w:b w:val="false"/>
                <w:i w:val="false"/>
                <w:color w:val="000000"/>
                <w:sz w:val="21"/>
              </w:rPr>
              <w:t>Advanced Studies on International Order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国际谈判</w:t>
            </w:r>
            <w:r>
              <w:br/>
            </w:r>
            <w:r>
              <w:br/>
            </w:r>
            <w:r>
              <w:rPr>
                <w:rFonts w:ascii="SimSun" w:hAnsi="SimSun"/>
                <w:b w:val="false"/>
                <w:i w:val="false"/>
                <w:color w:val="000000"/>
                <w:sz w:val="21"/>
              </w:rPr>
              <w:t>International Negotiation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外交实务</w:t>
            </w:r>
            <w:r>
              <w:br/>
            </w:r>
            <w:r>
              <w:br/>
            </w:r>
            <w:r>
              <w:rPr>
                <w:rFonts w:ascii="SimSun" w:hAnsi="SimSun"/>
                <w:b w:val="false"/>
                <w:i w:val="false"/>
                <w:color w:val="000000"/>
                <w:sz w:val="21"/>
              </w:rPr>
              <w:t>Foreign Affairs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涉外法治与国际关系</w:t>
            </w:r>
            <w:r>
              <w:br/>
            </w:r>
            <w:r>
              <w:br/>
            </w:r>
            <w:r>
              <w:rPr>
                <w:rFonts w:ascii="SimSun" w:hAnsi="SimSun"/>
                <w:b w:val="false"/>
                <w:i w:val="false"/>
                <w:color w:val="000000"/>
                <w:sz w:val="21"/>
              </w:rPr>
              <w:t>Foreign-related Rule of Law and International Relations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