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2025广播电视学--新闻传播学本硕融通培养方案（数字视听菁英班）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以“2+X+Y”（2是通识和专业教育，X是多元发展路径，Y为融合创新能力）为路径，以“二对一”导师制（学界、业界2位导师对一位学生）为特色，立足新闻传播学、影视艺术学和数字媒体技术的跨学科视野，通过系统的数字视听传播理论和实务学习以及专业实习、社会实践，培养掌握扎实的视听内容生产和市场运营的专业知识和技能，拥有深厚的人文艺术素养，可胜任各类视听媒体平台、数字内容行业和大视听产业的需求，具有卓越数字视听传播能力的复合型、创新型、应用型高层次专业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广播电视学专业本科“2+X+Y”培养方案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面试内容：荣誉课程学习情况、综合评价（素养能力、实习实践成果、媒体工作意愿等）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广播电视学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123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新闻与传播</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76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7610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1.专业进阶路径：155学分                                                                </w:t>
      </w:r>
    </w:p>
    <w:p>
      <w:pPr>
        <w:spacing w:after="0"/>
        <w:ind w:left="0"/>
        <w:jc w:val="left"/>
      </w:pPr>
      <w:r>
        <w:rPr>
          <w:rFonts w:ascii="SimSun" w:hAnsi="SimSun"/>
          <w:b w:val="false"/>
          <w:i w:val="false"/>
          <w:color w:val="000000"/>
          <w:sz w:val="21"/>
        </w:rPr>
        <w:t>本路径学生本硕期间必须修满教学计划规定的155学分，包括通识教育课程44学分、专业培养课程62学分、专业进阶32学分（研究生课程不少于12学分）、融合创新能力培养17学分。</w:t>
      </w:r>
    </w:p>
    <w:p>
      <w:pPr>
        <w:spacing w:after="0"/>
        <w:ind w:left="0"/>
        <w:jc w:val="left"/>
      </w:pPr>
      <w:r>
        <w:rPr>
          <w:rFonts w:ascii="SimSun" w:hAnsi="SimSun"/>
          <w:b w:val="false"/>
          <w:i w:val="false"/>
          <w:color w:val="000000"/>
          <w:sz w:val="21"/>
        </w:rPr>
        <w:t>其中，本科学段需要完成123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41学分、专业培养课程52学分、专业进阶模块修读20学分、融合创新能力培养10学分。</w:t>
      </w:r>
    </w:p>
    <w:p>
      <w:pPr>
        <w:spacing w:after="0"/>
        <w:ind w:left="0"/>
        <w:jc w:val="left"/>
      </w:pPr>
      <w:r>
        <w:rPr>
          <w:rFonts w:ascii="SimSun" w:hAnsi="SimSun"/>
          <w:b w:val="false"/>
          <w:i w:val="false"/>
          <w:color w:val="000000"/>
          <w:sz w:val="21"/>
        </w:rPr>
        <w:t xml:space="preserve">2.荣誉项目：155学分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3.跨学科发展路径：159学分  </w:t>
      </w:r>
    </w:p>
    <w:p>
      <w:pPr>
        <w:spacing w:after="0"/>
        <w:ind w:left="0"/>
        <w:jc w:val="left"/>
      </w:pPr>
      <w:r>
        <w:rPr>
          <w:rFonts w:ascii="SimSun" w:hAnsi="SimSun"/>
          <w:b w:val="false"/>
          <w:i w:val="false"/>
          <w:color w:val="000000"/>
          <w:sz w:val="21"/>
        </w:rPr>
        <w:t xml:space="preserve">微专业（学程）课程详见教务处学程项目网页，下载地址：https://jwc.fudan.edu.cn/（复旦大学教务处）专业培养-常用文档。完成微专业（学程）修读要求的学生可获得相应的微专业（学程）证书。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  （3）在此基础上，达到新闻学院“本科荣誉证书”获得条件的授予“本科荣誉证书”，具体要求请见新闻学院“本科荣誉项目”实施方案。</w:t>
      </w:r>
    </w:p>
    <w:p>
      <w:pPr>
        <w:numPr>
          <w:ilvl w:val="0"/>
          <w:numId w:val="2"/>
        </w:numPr>
        <w:spacing w:after="0"/>
        <w:jc w:val="left"/>
      </w:pPr>
      <w:r>
        <w:rPr>
          <w:rFonts w:ascii="SimSun" w:hAnsi="SimSun"/>
          <w:b w:val="false"/>
          <w:i w:val="false"/>
          <w:color w:val="000000"/>
          <w:sz w:val="21"/>
        </w:rPr>
        <w:t>本科学段主动退出和转段考核不合格退出本硕融通计划的学生，需按照广播电视学专业本科“2+X+Y”培养方案修读课程，如达到学士学位要求者授予文学学士学位。</w:t>
      </w:r>
    </w:p>
    <w:p>
      <w:pPr>
        <w:spacing w:after="0"/>
        <w:ind w:left="0"/>
        <w:jc w:val="left"/>
      </w:pPr>
      <w:r>
        <w:rPr>
          <w:rFonts w:ascii="SimSun" w:hAnsi="SimSun"/>
          <w:b w:val="false"/>
          <w:i w:val="false"/>
          <w:color w:val="000000"/>
          <w:sz w:val="21"/>
        </w:rPr>
        <w:t xml:space="preserve">（二）研究生学位                                                                     </w:t>
      </w:r>
    </w:p>
    <w:p>
      <w:pPr>
        <w:numPr>
          <w:ilvl w:val="0"/>
          <w:numId w:val="3"/>
        </w:numPr>
        <w:spacing w:after="0"/>
        <w:jc w:val="left"/>
      </w:pPr>
      <w:r>
        <w:rPr>
          <w:rFonts w:ascii="SimSun" w:hAnsi="SimSun"/>
          <w:b w:val="false"/>
          <w:i w:val="false"/>
          <w:color w:val="000000"/>
          <w:sz w:val="21"/>
        </w:rPr>
        <w:t>达到硕士学位要求者授予文学硕士学位。</w:t>
      </w:r>
    </w:p>
    <w:p>
      <w:pPr>
        <w:spacing w:after="0"/>
        <w:ind w:left="0"/>
        <w:jc w:val="left"/>
      </w:pPr>
      <w:r>
        <w:rPr>
          <w:rFonts w:ascii="SimSun" w:hAnsi="SimSun"/>
          <w:b w:val="false"/>
          <w:i w:val="false"/>
          <w:color w:val="000000"/>
          <w:sz w:val="21"/>
        </w:rPr>
        <w:t xml:space="preserve">  （1）必须已修满学校规定的学分；所有修读课程成绩合格，其中学位课程平均绩点原则上不低于2.5。  </w:t>
      </w:r>
    </w:p>
    <w:p>
      <w:pPr>
        <w:spacing w:after="0"/>
        <w:ind w:left="0"/>
        <w:jc w:val="left"/>
      </w:pPr>
      <w:r>
        <w:rPr>
          <w:rFonts w:ascii="SimSun" w:hAnsi="SimSun"/>
          <w:b w:val="false"/>
          <w:i w:val="false"/>
          <w:color w:val="000000"/>
          <w:sz w:val="21"/>
        </w:rPr>
        <w:t xml:space="preserve">  （2）学位论文通过预审、相似性检测、评阅及答辩。详见《复旦大学博士、硕士学位论文预审办法》《复旦大学博士、硕士学位论文相似度检测工作的实施办法》《复旦大学博士、硕士学位论文双盲评审办法》《复旦大学博士、硕士学位论文答辩组织办法》《复旦大学新闻传播学硕士学位授予标准》等相关文件。</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本项目以17门高质量课程为基础建立了本研融通的专业核心课程体系，以跨学科视角建立了难度逐级提升的本研融通的专业进阶课程体系。毕业论文鼓励采用“专业作品制作”（策划方案+作品制作+分析报告）的路径。</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1095"/>
        <w:gridCol w:w="1095"/>
        <w:gridCol w:w="1095"/>
        <w:gridCol w:w="1095"/>
        <w:gridCol w:w="1095"/>
        <w:gridCol w:w="1095"/>
        <w:gridCol w:w="1096"/>
        <w:gridCol w:w="1096"/>
        <w:gridCol w:w="1096"/>
        <w:gridCol w:w="1096"/>
      </w:tblGrid>
      <w:tr>
        <w:trPr>
          <w:trHeight w:val="45"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 xml:space="preserve">2.实务训练体系                                                                   </w:t>
      </w:r>
    </w:p>
    <w:p>
      <w:pPr>
        <w:spacing w:after="0"/>
        <w:ind w:left="0"/>
        <w:jc w:val="left"/>
      </w:pPr>
      <w:r>
        <w:rPr>
          <w:rFonts w:ascii="SimSun" w:hAnsi="SimSun"/>
          <w:b w:val="false"/>
          <w:i w:val="false"/>
          <w:color w:val="000000"/>
          <w:sz w:val="21"/>
        </w:rPr>
        <w:t>本项旨在培养具有卓越数字视听传播能力的复合型、创新型、应用型高层次专业人才，注重实务和操作能力的训练。组织和支持学生积极参加各项大学生或行业高水平视听影像创作竞赛、作品征集活动等，以赛促教、促学、促研。</w:t>
      </w:r>
    </w:p>
    <w:p>
      <w:pPr>
        <w:spacing w:after="0"/>
        <w:ind w:left="0"/>
        <w:jc w:val="left"/>
      </w:pPr>
      <w:r>
        <w:rPr>
          <w:rFonts w:ascii="SimSun" w:hAnsi="SimSun"/>
          <w:b w:val="false"/>
          <w:i w:val="false"/>
          <w:color w:val="000000"/>
          <w:sz w:val="21"/>
        </w:rPr>
        <w:t xml:space="preserve">                    </w:t>
      </w:r>
      <w:r>
        <w:drawing>
          <wp:inline distT="0" distB="0" distL="0" distR="0">
            <wp:extent cx="4724400" cy="2269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22690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（15学分,本科要求15学分）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（62学分,本科要求52学分）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（12学分,本科要求12学分）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法学大类（法学学士，含国务学院行政管理专业）必修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法学大类（法学学士，含国务学院行政管理专业）必修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各学院按修读计划的要求选修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各学院按修读计划的要求选修</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各学院按修读计划的要求选修</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（44学分,本科要求34学分）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视听史论</w:t>
            </w:r>
            <w:r>
              <w:br/>
            </w:r>
            <w:r>
              <w:br/>
            </w:r>
            <w:r>
              <w:rPr>
                <w:rFonts w:ascii="SimSun" w:hAnsi="SimSun"/>
                <w:b w:val="false"/>
                <w:i w:val="false"/>
                <w:color w:val="000000"/>
                <w:sz w:val="21"/>
              </w:rPr>
              <w:t>Theory and History: An Interpretation to Audiovisual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视听语言和审美</w:t>
            </w:r>
            <w:r>
              <w:br/>
            </w:r>
            <w:r>
              <w:br/>
            </w:r>
            <w:r>
              <w:rPr>
                <w:rFonts w:ascii="SimSun" w:hAnsi="SimSun"/>
                <w:b w:val="false"/>
                <w:i w:val="false"/>
                <w:color w:val="000000"/>
                <w:sz w:val="21"/>
              </w:rPr>
              <w:t>Audiovisual Language and Aesthetics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视听技术与应用</w:t>
            </w:r>
            <w:r>
              <w:br/>
            </w:r>
            <w:r>
              <w:br/>
            </w:r>
            <w:r>
              <w:rPr>
                <w:rFonts w:ascii="SimSun" w:hAnsi="SimSun"/>
                <w:b w:val="false"/>
                <w:i w:val="false"/>
                <w:color w:val="000000"/>
                <w:sz w:val="21"/>
              </w:rPr>
              <w:t>Technique and Application of Audio-visual Programs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影像编辑</w:t>
            </w:r>
            <w:r>
              <w:br/>
            </w:r>
            <w:r>
              <w:br/>
            </w:r>
            <w:r>
              <w:rPr>
                <w:rFonts w:ascii="SimSun" w:hAnsi="SimSun"/>
                <w:b w:val="false"/>
                <w:i w:val="false"/>
                <w:color w:val="000000"/>
                <w:sz w:val="21"/>
              </w:rPr>
              <w:t>Video Editing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视听节目构成</w:t>
            </w:r>
            <w:r>
              <w:br/>
            </w:r>
            <w:r>
              <w:br/>
            </w:r>
            <w:r>
              <w:rPr>
                <w:rFonts w:ascii="SimSun" w:hAnsi="SimSun"/>
                <w:b w:val="false"/>
                <w:i w:val="false"/>
                <w:color w:val="000000"/>
                <w:sz w:val="21"/>
              </w:rPr>
              <w:t>Broadcasting and Online Media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数字媒体艺术与技术应用</w:t>
            </w:r>
            <w:r>
              <w:br/>
            </w:r>
            <w:r>
              <w:br/>
            </w:r>
            <w:r>
              <w:rPr>
                <w:rFonts w:ascii="SimSun" w:hAnsi="SimSun"/>
                <w:b w:val="false"/>
                <w:i w:val="false"/>
                <w:color w:val="000000"/>
                <w:sz w:val="21"/>
              </w:rPr>
              <w:t>Digital Media Arts and Technology Application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数字互动叙事</w:t>
            </w:r>
            <w:r>
              <w:br/>
            </w:r>
            <w:r>
              <w:br/>
            </w:r>
            <w:r>
              <w:rPr>
                <w:rFonts w:ascii="SimSun" w:hAnsi="SimSun"/>
                <w:b w:val="false"/>
                <w:i w:val="false"/>
                <w:color w:val="000000"/>
                <w:sz w:val="21"/>
              </w:rPr>
              <w:t>Interactive Digital Narrative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视听文化导论</w:t>
            </w:r>
            <w:r>
              <w:br/>
            </w:r>
            <w:r>
              <w:br/>
            </w:r>
            <w:r>
              <w:rPr>
                <w:rFonts w:ascii="SimSun" w:hAnsi="SimSun"/>
                <w:b w:val="false"/>
                <w:i w:val="false"/>
                <w:color w:val="000000"/>
                <w:sz w:val="21"/>
              </w:rPr>
              <w:t>Introduction to Audio-Visual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非虚构影像创作</w:t>
            </w:r>
            <w:r>
              <w:br/>
            </w:r>
            <w:r>
              <w:br/>
            </w:r>
            <w:r>
              <w:rPr>
                <w:rFonts w:ascii="SimSun" w:hAnsi="SimSun"/>
                <w:b w:val="false"/>
                <w:i w:val="false"/>
                <w:color w:val="000000"/>
                <w:sz w:val="21"/>
              </w:rPr>
              <w:t>Non-fiction Film Creation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数字视听生产实践</w:t>
            </w:r>
            <w:r>
              <w:br/>
            </w:r>
            <w:r>
              <w:br/>
            </w:r>
            <w:r>
              <w:rPr>
                <w:rFonts w:ascii="SimSun" w:hAnsi="SimSun"/>
                <w:b w:val="false"/>
                <w:i w:val="false"/>
                <w:color w:val="000000"/>
                <w:sz w:val="21"/>
              </w:rPr>
              <w:t>Digital Auditory-Visual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数字视听产业前沿</w:t>
            </w:r>
            <w:r>
              <w:br/>
            </w:r>
            <w:r>
              <w:br/>
            </w:r>
            <w:r>
              <w:rPr>
                <w:rFonts w:ascii="SimSun" w:hAnsi="SimSun"/>
                <w:b w:val="false"/>
                <w:i w:val="false"/>
                <w:color w:val="000000"/>
                <w:sz w:val="21"/>
              </w:rPr>
              <w:t>Lecture on the Frontiers of Digital Audio-Visual</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包括本研融通专业进阶路径、跨学科发展路径、本研荣誉课程体系，要求在院系专业导师指导下选择1条发展路径，按路径要求修读课程。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修满32学分。要求在本专业进阶模块I修读16学分（研究生课程不少于6学分）、专业进阶模块II修读16学分（研究生课程不少于6学分）。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（16学分,本科要求10学分）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66"/>
        <w:gridCol w:w="2755"/>
        <w:gridCol w:w="688"/>
        <w:gridCol w:w="688"/>
        <w:gridCol w:w="964"/>
        <w:gridCol w:w="1377"/>
        <w:gridCol w:w="688"/>
        <w:gridCol w:w="688"/>
        <w:gridCol w:w="688"/>
        <w:gridCol w:w="688"/>
        <w:gridCol w:w="965"/>
        <w:gridCol w:w="1379"/>
      </w:tblGrid>
      <w:tr>
        <w:trPr>
          <w:trHeight w:val="45" w:hRule="atLeast"/>
        </w:trPr>
        <w:tc>
          <w:tcPr>
            <w:tcW w:w="2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6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视听生产模块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新媒体设计思维与实践</w:t>
            </w:r>
            <w:r>
              <w:br/>
            </w:r>
            <w:r>
              <w:br/>
            </w:r>
            <w:r>
              <w:rPr>
                <w:rFonts w:ascii="SimSun" w:hAnsi="SimSun"/>
                <w:b w:val="false"/>
                <w:i w:val="false"/>
                <w:color w:val="000000"/>
                <w:sz w:val="21"/>
              </w:rPr>
              <w:t>New Media Design Thinking＆Practice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视听节目主持</w:t>
            </w:r>
            <w:r>
              <w:br/>
            </w:r>
            <w:r>
              <w:br/>
            </w:r>
            <w:r>
              <w:rPr>
                <w:rFonts w:ascii="SimSun" w:hAnsi="SimSun"/>
                <w:b w:val="false"/>
                <w:i w:val="false"/>
                <w:color w:val="000000"/>
                <w:sz w:val="21"/>
              </w:rPr>
              <w:t>Audio-Visual Broadcasting Hosting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MJC70001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6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视听文化模块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影视研究专题</w:t>
            </w:r>
            <w:r>
              <w:br/>
            </w:r>
            <w:r>
              <w:br/>
            </w:r>
            <w:r>
              <w:rPr>
                <w:rFonts w:ascii="SimSun" w:hAnsi="SimSun"/>
                <w:b w:val="false"/>
                <w:i w:val="false"/>
                <w:color w:val="000000"/>
                <w:sz w:val="21"/>
              </w:rPr>
              <w:t>Specialized Topics in Film ＆ TV Studies</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JCM70019</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人文社科研究方法前沿</w:t>
            </w:r>
            <w:r>
              <w:br/>
            </w:r>
            <w:r>
              <w:br/>
            </w:r>
            <w:r>
              <w:rPr>
                <w:rFonts w:ascii="SimSun" w:hAnsi="SimSun"/>
                <w:b w:val="false"/>
                <w:i w:val="false"/>
                <w:color w:val="000000"/>
                <w:sz w:val="21"/>
              </w:rPr>
              <w:t>Methods Frontier in Humanities and Social Sciences Research</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JCM60017</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游戏传播应用与创新</w:t>
            </w:r>
            <w:r>
              <w:br/>
            </w:r>
            <w:r>
              <w:br/>
            </w:r>
            <w:r>
              <w:rPr>
                <w:rFonts w:ascii="SimSun" w:hAnsi="SimSun"/>
                <w:b w:val="false"/>
                <w:i w:val="false"/>
                <w:color w:val="000000"/>
                <w:sz w:val="21"/>
              </w:rPr>
              <w:t>Applied Game Communication and Innovation</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MJC60007</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6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7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（16学分,本科要求10学分）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视听传播模块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网络数据挖掘</w:t>
            </w:r>
            <w:r>
              <w:br/>
            </w:r>
            <w:r>
              <w:br/>
            </w:r>
            <w:r>
              <w:rPr>
                <w:rFonts w:ascii="SimSun" w:hAnsi="SimSun"/>
                <w:b w:val="false"/>
                <w:i w:val="false"/>
                <w:color w:val="000000"/>
                <w:sz w:val="21"/>
              </w:rPr>
              <w:t>Web Data Mining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新媒体用户行为分析</w:t>
            </w:r>
            <w:r>
              <w:br/>
            </w:r>
            <w:r>
              <w:br/>
            </w:r>
            <w:r>
              <w:rPr>
                <w:rFonts w:ascii="SimSun" w:hAnsi="SimSun"/>
                <w:b w:val="false"/>
                <w:i w:val="false"/>
                <w:color w:val="000000"/>
                <w:sz w:val="21"/>
              </w:rPr>
              <w:t>New Media User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智能传播</w:t>
            </w:r>
            <w:r>
              <w:br/>
            </w:r>
            <w:r>
              <w:br/>
            </w:r>
            <w:r>
              <w:rPr>
                <w:rFonts w:ascii="SimSun" w:hAnsi="SimSun"/>
                <w:b w:val="false"/>
                <w:i w:val="false"/>
                <w:color w:val="000000"/>
                <w:sz w:val="21"/>
              </w:rPr>
              <w:t>Intelligent Communication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JCM70042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视听运营模块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视听媒介产业与节目研究</w:t>
            </w:r>
            <w:r>
              <w:br/>
            </w:r>
            <w:r>
              <w:br/>
            </w:r>
            <w:r>
              <w:rPr>
                <w:rFonts w:ascii="SimSun" w:hAnsi="SimSun"/>
                <w:b w:val="false"/>
                <w:i w:val="false"/>
                <w:color w:val="000000"/>
                <w:sz w:val="21"/>
              </w:rPr>
              <w:t>Research on Audio-visual Media Industry and Programming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视听新媒体管理</w:t>
            </w:r>
            <w:r>
              <w:br/>
            </w:r>
            <w:r>
              <w:br/>
            </w:r>
            <w:r>
              <w:rPr>
                <w:rFonts w:ascii="SimSun" w:hAnsi="SimSun"/>
                <w:b w:val="false"/>
                <w:i w:val="false"/>
                <w:color w:val="000000"/>
                <w:sz w:val="21"/>
              </w:rPr>
              <w:t>Audiovisual New Media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MJC60006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MJC70025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要求修读荣誉课程不低于24学分，且满足专业进阶模块I修读16学分（研究生课程不少于6学分）、专业进阶模块II修读16学分（研究生课程不少于6学分）。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10学分（研究生课程不少于6学分）、专业进阶模块II修读10学分（研究生课程不少于6学分）、1个非本专业独立开设的学程(微专业)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须参与至少1次全国或上海市的视听影像创作竞赛、作品征集活动。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须参与至少1次全国或上海市的视听影像创作竞赛、作品征集活动。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第5、6学期，可选申报承担1项复芏计划，详见复旦大学本科生学术研究资助计划管理办法。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从事一个学期以上的校园媒体实践活动，并发表10篇以上作品。期末由课程负责老师对学生进行考核，并给出成绩。成绩为D-以上为通过。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校园媒体实践(硕士阶段)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从事一个学期以上的校园媒体实践活动，并发表10篇以上作品。期末由课程负责老师对学生进行考核，并给出成绩。成绩为D-以上为通过。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研究生学段必须完成必要的专业实习、社会实践、社会调查、创新创业比赛等。</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按照《复旦大学新闻学院关于专业学位研究生学位论文开题环节的实施细则》执行。</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abstractNum w:abstractNumId="3">
    <w:multiLevelType w:val="multilevel"/>
    <w:lvl w:ilvl="0">
      <w:start w:val="1"/>
      <w:numFmt w:val="decimal"/>
      <w:lvlText w:val="%1"/>
      <w:lvlJc w:val="left"/>
      <w:pPr>
        <w:ind w:left="960" w:hanging="360"/>
      </w:pPr>
    </w:lvl>
  </w:abstractNum>
  <w:num w:numId="1">
    <w:abstractNumId w:val="1"/>
  </w:num>
  <w:num w:numId="2">
    <w:abstractNumId w:val="2"/>
  </w:num>
  <w:num w:numId="3">
    <w:abstractNumId w:val="3"/>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