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2025经济学+人工智能双学士学位项目本科培养方案（普通本科生）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复旦大学经济学系成立于1922年，至今已有百年历史，是国内高校中历史最悠久的经济学教学研究机构之一。 本专业所属理论经济学为国家一级学科，所涵盖二级学科全部为国家重点学科。学科以“经世济民、立地顶天”为发展目标，以“创世界一流经济学科”为学科定位，并顺应时代大环境变化不断调整学科布局、聚焦研究重点，致力于培养关注中国重大现实问题，具有回答时代之问的使命感和责任感，具备服务国家重大战略需求和世界未来发展大局的综合经济管理和研究人才。本专业“政治经济学”曾获课程改革国家级特等奖，“宏观经济学”为国家级精品课程，“政治经济学”和“统计学”为上海市精品课程。</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依托教育部基础学科拔尖学生培养计划2.0经济学拔尖学生培养基地，按照“宽口径、厚基础、重能力、求创新”的人才培养要求，以“2+X+Y”（2是通识和专业教育，X是多元发展路径，Y为融合创新能力）为途径，培养德智体美劳全面发展的经济学领军人才。本专业毕业学生应具有良好的思想道德素质和科学的世界观，具有博大的人文情怀，具备突出的科学素养与创新思维、开阔的国际视野和跨文化交流与合作能力，能够服务国家重大战略需求和世界未来发展大局。</w:t>
      </w:r>
      <w:r>
        <w:br/>
      </w:r>
      <w:r>
        <w:br/>
      </w:r>
      <w:r>
        <w:rPr>
          <w:rFonts w:ascii="SimSun" w:hAnsi="SimSun"/>
          <w:b w:val="false"/>
          <w:i w:val="false"/>
          <w:color w:val="000000"/>
          <w:sz w:val="21"/>
        </w:rPr>
        <w:t xml:space="preserve">      毕业时，学生应具有扎实的经济学理论基础，熟悉现代经济学和人工智能领域前沿理论，具有跨专业知识融合能力和创新能力，能在综合经济管理部门、政策研究部门、金融机构和企业从事经济分析、预测、规划和管理的复合型拔尖创新人才。</w:t>
      </w:r>
    </w:p>
    <w:p>
      <w:pPr>
        <w:spacing w:after="0"/>
        <w:ind w:left="0"/>
        <w:jc w:val="left"/>
      </w:pPr>
      <w:r>
        <w:rPr>
          <w:rFonts w:ascii="SimSun" w:hAnsi="SimSun"/>
          <w:b/>
          <w:i w:val="false"/>
          <w:color w:val="000000"/>
          <w:sz w:val="24"/>
        </w:rPr>
        <w:t xml:space="preserve">
       三.    基本要求
      </w:t>
      </w:r>
    </w:p>
    <w:p>
      <w:pPr>
        <w:pBdr>
          <w:left w:space="30"/>
        </w:pBdr>
        <w:spacing w:after="0"/>
        <w:ind w:left="0"/>
        <w:jc w:val="left"/>
      </w:pPr>
      <w:r>
        <w:drawing>
          <wp:inline distT="0" distB="0" distL="0" distR="0">
            <wp:extent cx="3132667" cy="169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32667" cy="16933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31"/>
        <w:gridCol w:w="1091"/>
        <w:gridCol w:w="3326"/>
        <w:gridCol w:w="3327"/>
        <w:gridCol w:w="1931"/>
        <w:gridCol w:w="1451"/>
        <w:gridCol w:w="1251"/>
        <w:gridCol w:w="5"/>
        <w:gridCol w:w="5"/>
        <w:gridCol w:w="1331"/>
        <w:gridCol w:w="2411"/>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331" w:type="dxa"/>
            <w:tcBorders>
              <w:bottom w:val="single" w:color="000000" w:sz="8"/>
              <w:right w:val="single" w:color="000000" w:sz="8"/>
            </w:tcBorders>
            <w:tcMar>
              <w:top w:w="15" w:type="dxa"/>
              <w:left w:w="15" w:type="dxa"/>
              <w:bottom w:w="15" w:type="dxa"/>
              <w:right w:w="15" w:type="dxa"/>
            </w:tcMar>
            <w:vAlign w:val="center"/>
          </w:tcPr>
          <w:p/>
        </w:tc>
        <w:tc>
          <w:tcPr>
            <w:tcW w:w="2411"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经济学学士学位</w:t>
            </w:r>
          </w:p>
        </w:tc>
        <w:tc>
          <w:tcPr>
            <w:tcW w:w="1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■按照不少于学分数 174</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2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通识教育课程39学分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专业培养课程106学分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专业进阶模块22学分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71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453467" cy="1727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53467" cy="17272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579"/>
        <w:gridCol w:w="2580"/>
        <w:gridCol w:w="2580"/>
        <w:gridCol w:w="2580"/>
        <w:gridCol w:w="2580"/>
        <w:gridCol w:w="2580"/>
        <w:gridCol w:w="2580"/>
        <w:gridCol w:w="2580"/>
        <w:gridCol w:w="2580"/>
        <w:gridCol w:w="2580"/>
        <w:gridCol w:w="258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专业进阶路径：174学分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174学分（含实践学分不低于32学分；含美育学分不少于2学分，其中至少在“美学和艺术史论类”或“艺术鉴赏和评论类”课程中修读1学分，并至少参与一项艺术实践活动；劳动教育不少于32学时，并满足劳动周教育要求），包括通识教育课程39学分、专业培养课程106学分、专业进阶模块修读22学分、融合创新能力模块7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本科荣誉项目：174学分</w:t>
            </w:r>
          </w:p>
        </w:tc>
      </w:tr>
      <w:tr>
        <w:trPr>
          <w:trHeight w:val="333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荣誉项目课程设置和修读要求请见经济学院院系本科“荣誉项目”实施方案。下载地址：https://jwc.fudan.edu.cn/（复旦大学教务处）专业培养-常用文档。鼓励学生选择荣誉项目。 </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081"/>
        <w:gridCol w:w="2085"/>
        <w:gridCol w:w="2086"/>
        <w:gridCol w:w="2086"/>
        <w:gridCol w:w="2086"/>
        <w:gridCol w:w="2086"/>
        <w:gridCol w:w="2086"/>
        <w:gridCol w:w="2086"/>
        <w:gridCol w:w="2086"/>
        <w:gridCol w:w="2086"/>
        <w:gridCol w:w="2086"/>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4年级结束时，如达到学士学位要求者理授予经济学学士学位。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tc>
      </w:tr>
      <w:tr>
        <w:trPr>
          <w:trHeight w:val="330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经济学+AI学士双学位项目，如达到经济学-人工智能双学士学位要求者授予经济学-工学双学士学位。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90"/>
        <w:gridCol w:w="2690"/>
        <w:gridCol w:w="2690"/>
        <w:gridCol w:w="2691"/>
        <w:gridCol w:w="2691"/>
        <w:gridCol w:w="2694"/>
        <w:gridCol w:w="2694"/>
        <w:gridCol w:w="2695"/>
        <w:gridCol w:w="2695"/>
        <w:gridCol w:w="2695"/>
        <w:gridCol w:w="2695"/>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数理基础和方法→经济学基础理论→经济学基础应用→科研训练体系”为主线建立了难度逐级提升的专业进阶课程体系，在解决复杂问题的过程中培养实践能力，激发批判性思维和科研潜力。提供26门专业核心课程，24门专业进阶I组课程和9门专业进阶II组课程，为学生打造坚实的经济学理论和应用基础的同时，也为拥有不同学习兴趣的学生提供了宽广的选择。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36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走进经济学系列讲座”和“中国经济学系列讲座”，覆盖全体本科生，引导学生深入了解中国经济现实和经济学研究的国际前沿，培育研究兴趣和提问能力。鼓励本科高年级通过学术实践和科研实践提升能力，助力学生完成复芏计划（FDUROP）项目（䇹政、望道、登辉和曦源），激发研究志趣。多渠道支持学生参加国内国际高水平学术交流，鼓励学生参加国内国际高水平创新竞赛（中国国际大学生创新大赛、“挑战杯”全国大学生课外学术科技作品竞赛等）。</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（一）通识教育课程：模块“2”（39学分）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通识教育课程包括通识教育核心课程和专项教育课程。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1.通识教育核心课程（26学分）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26学分，含思想政治理论课19学分，七大模块课程6学分（七大模块6学分中每模块最多修读1门课，回避第四模块“社会研究与当代中国”，第五模块“科学探索与技术创新模块课程”，即修读第四模块课程和第五模块课程将不计入七大模块学分中），课程设置详见核心课程七大模块。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6学分（七大模块6学分中每模块最多修读1门课，回避第四模块“社会研究与当代中国”，第五模块“科学探索与技术创新模块课程”，即修读第四模块课程和第五模块课程将不计入七大模块学分中），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 专项教育课程（13学分）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要求修读13学分，课程设置详见专项教育课程和金融学专业修读建议。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数学组</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要求修读42学分（部分课程学分可用荣誉课程学分替换）。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制度经济学</w:t>
            </w:r>
            <w:r>
              <w:br/>
            </w:r>
            <w:r>
              <w:br/>
            </w:r>
            <w:r>
              <w:rPr>
                <w:rFonts w:ascii="SimSun" w:hAnsi="SimSun"/>
                <w:b w:val="false"/>
                <w:i w:val="false"/>
                <w:color w:val="000000"/>
                <w:sz w:val="21"/>
              </w:rPr>
              <w:t>Institution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外国经济思想史</w:t>
            </w:r>
            <w:r>
              <w:br/>
            </w:r>
            <w:r>
              <w:br/>
            </w:r>
            <w:r>
              <w:rPr>
                <w:rFonts w:ascii="SimSun" w:hAnsi="SimSun"/>
                <w:b w:val="false"/>
                <w:i w:val="false"/>
                <w:color w:val="000000"/>
                <w:sz w:val="21"/>
              </w:rPr>
              <w:t>History of Western Economic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w:t>
            </w:r>
            <w:r>
              <w:br/>
            </w:r>
            <w:r>
              <w:br/>
            </w:r>
            <w:r>
              <w:rPr>
                <w:rFonts w:ascii="SimSun" w:hAnsi="SimSun"/>
                <w:b w:val="false"/>
                <w:i w:val="false"/>
                <w:color w:val="000000"/>
                <w:sz w:val="21"/>
              </w:rPr>
              <w:t>Theory on Capital</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资源环境经济学</w:t>
            </w:r>
            <w:r>
              <w:br/>
            </w:r>
            <w:r>
              <w:br/>
            </w:r>
            <w:r>
              <w:rPr>
                <w:rFonts w:ascii="SimSun" w:hAnsi="SimSun"/>
                <w:b w:val="false"/>
                <w:i w:val="false"/>
                <w:color w:val="000000"/>
                <w:sz w:val="21"/>
              </w:rPr>
              <w:t>　Natural Resources and Environmental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经济学经典文献选读与写作</w:t>
            </w:r>
            <w:r>
              <w:br/>
            </w:r>
            <w:r>
              <w:br/>
            </w:r>
            <w:r>
              <w:rPr>
                <w:rFonts w:ascii="SimSun" w:hAnsi="SimSun"/>
                <w:b w:val="false"/>
                <w:i w:val="false"/>
                <w:color w:val="000000"/>
                <w:sz w:val="21"/>
              </w:rPr>
              <w:t>Classic Literature Reading and Academic Writing of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专业核心教育课程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数量经济学</w:t>
            </w:r>
            <w:r>
              <w:br/>
            </w:r>
            <w:r>
              <w:br/>
            </w:r>
            <w:r>
              <w:rPr>
                <w:rFonts w:ascii="SimSun" w:hAnsi="SimSun"/>
                <w:b w:val="false"/>
                <w:i w:val="false"/>
                <w:color w:val="000000"/>
                <w:sz w:val="21"/>
              </w:rPr>
              <w:t>Quantitative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B组应用模块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农村和农业经济学</w:t>
            </w:r>
            <w:r>
              <w:br/>
            </w:r>
            <w:r>
              <w:br/>
            </w:r>
            <w:r>
              <w:rPr>
                <w:rFonts w:ascii="SimSun" w:hAnsi="SimSun"/>
                <w:b w:val="false"/>
                <w:i w:val="false"/>
                <w:color w:val="000000"/>
                <w:sz w:val="21"/>
              </w:rPr>
              <w:t>Rural Development and Agricultural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能源与气候变化经济学</w:t>
            </w:r>
            <w:r>
              <w:br/>
            </w:r>
            <w:r>
              <w:br/>
            </w:r>
            <w:r>
              <w:rPr>
                <w:rFonts w:ascii="SimSun" w:hAnsi="SimSun"/>
                <w:b w:val="false"/>
                <w:i w:val="false"/>
                <w:color w:val="000000"/>
                <w:sz w:val="21"/>
              </w:rPr>
              <w:t>Economics of Energy and Climate Change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公司财务学</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w:t>
            </w:r>
            <w:r>
              <w:br/>
            </w:r>
            <w:r>
              <w:br/>
            </w:r>
            <w:r>
              <w:rPr>
                <w:rFonts w:ascii="SimSun" w:hAnsi="SimSun"/>
                <w:b w:val="false"/>
                <w:i w:val="false"/>
                <w:color w:val="000000"/>
                <w:sz w:val="21"/>
              </w:rPr>
              <w:t>Labor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区域经济学</w:t>
            </w:r>
            <w:r>
              <w:br/>
            </w:r>
            <w:r>
              <w:br/>
            </w:r>
            <w:r>
              <w:rPr>
                <w:rFonts w:ascii="SimSun" w:hAnsi="SimSun"/>
                <w:b w:val="false"/>
                <w:i w:val="false"/>
                <w:color w:val="000000"/>
                <w:sz w:val="21"/>
              </w:rPr>
              <w:t>Regional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数据分析与经济决策</w:t>
            </w:r>
            <w:r>
              <w:br/>
            </w:r>
            <w:r>
              <w:br/>
            </w:r>
            <w:r>
              <w:rPr>
                <w:rFonts w:ascii="SimSun" w:hAnsi="SimSun"/>
                <w:b w:val="false"/>
                <w:i w:val="false"/>
                <w:color w:val="000000"/>
                <w:sz w:val="21"/>
              </w:rPr>
              <w:t>Data Analysis for Economic Decision Making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理论模块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中国经济思想史</w:t>
            </w:r>
            <w:r>
              <w:br/>
            </w:r>
            <w:r>
              <w:br/>
            </w:r>
            <w:r>
              <w:rPr>
                <w:rFonts w:ascii="SimSun" w:hAnsi="SimSun"/>
                <w:b w:val="false"/>
                <w:i w:val="false"/>
                <w:color w:val="000000"/>
                <w:sz w:val="21"/>
              </w:rPr>
              <w:t>History of Chinese Economical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十六世纪后的世界政治、经济与思想</w:t>
            </w:r>
            <w:r>
              <w:br/>
            </w:r>
            <w:r>
              <w:br/>
            </w:r>
            <w:r>
              <w:rPr>
                <w:rFonts w:ascii="SimSun" w:hAnsi="SimSun"/>
                <w:b w:val="false"/>
                <w:i w:val="false"/>
                <w:color w:val="000000"/>
                <w:sz w:val="21"/>
              </w:rPr>
              <w:t>World Politics, Economy, and Thought After the 16th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当代经济学前沿</w:t>
            </w:r>
            <w:r>
              <w:br/>
            </w:r>
            <w:r>
              <w:br/>
            </w:r>
            <w:r>
              <w:rPr>
                <w:rFonts w:ascii="SimSun" w:hAnsi="SimSun"/>
                <w:b w:val="false"/>
                <w:i w:val="false"/>
                <w:color w:val="000000"/>
                <w:sz w:val="21"/>
              </w:rPr>
              <w:t>Contemporary Economic Thought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方法模块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保险科技</w:t>
            </w:r>
            <w:r>
              <w:br/>
            </w:r>
            <w:r>
              <w:br/>
            </w:r>
            <w:r>
              <w:rPr>
                <w:rFonts w:ascii="SimSun" w:hAnsi="SimSun"/>
                <w:b w:val="false"/>
                <w:i w:val="false"/>
                <w:color w:val="000000"/>
                <w:sz w:val="21"/>
              </w:rPr>
              <w:t>InsurTech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习近平经济思想概论</w:t>
            </w:r>
            <w:r>
              <w:br/>
            </w:r>
            <w:r>
              <w:br/>
            </w:r>
            <w:r>
              <w:rPr>
                <w:rFonts w:ascii="SimSun" w:hAnsi="SimSun"/>
                <w:b w:val="false"/>
                <w:i w:val="false"/>
                <w:color w:val="000000"/>
                <w:sz w:val="21"/>
              </w:rPr>
              <w:t>Introduction to Xi Jinping Thought on Economy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