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未来信息创新学院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2025电子信息科学与技术（光子计划院士班）-光学工程本博融通培养方案（香农计划）</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本专业源于1950年代物理系电子学实验室，试制出国内第一台电子模拟计算机，58年设无线电电子学专业，60年成立无线电电子学系，1993年调整为电子学与信息系统专业，1999年改为电子信息科学与技术专业，2012年改授工学学位。经过六十多年的发展，形成了具有良好数理基础、较强科研能力的电子信息领域人才培养平台，2019年被评为国家级一流本科专业建设点，2023级增设光子计划-信息科技领军人才班，有十个院士团队从本科一年级开始指导，2024级改名为光子计划院士班。</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培养德智体美劳全面发展的信息科技领军人才。学生应具有良好的思想道德素质和科学的世界观，具有人文情怀，具备突出的科学素养与创新思维、开阔的国际视野和跨文化环境下的交流与合作能力，能够服务国家重大战略需求。博士毕业时，具有独立从事科学研究的能力和严谨求实的科学态度和作风，在一个或几个国际前沿方向中有较深入的研究，并取得创造性的成果。</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 xml:space="preserve"> </w:t>
      </w:r>
      <w:r>
        <w:drawing>
          <wp:inline distT="0" distB="0" distL="0" distR="0">
            <wp:extent cx="4301067" cy="19304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301067" cy="19304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面试内容：荣誉课程学习情况、综合评价（竞赛、比赛、科研实践情况及物理志趣等内容）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 (4~6年级期间有2次申请机会)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笔试科目：固体的光学性质，现代光学设计
面试内容：已从事的科研活动及取得的科研成果介绍，以及下一步的科研计划</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电子信息科学与技术</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光学工程</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面试内容：荣誉课程学习情况、综合评价（竞赛、比赛、科研实践情况及专业志趣等内容）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电子信息科学与技术</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149</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67</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24</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荣誉项目</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任意选修</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融合创新能力实验模块</w:t>
            </w:r>
            <w:r>
              <w:rPr>
                <w:rFonts w:ascii="SimSun" w:hAnsi="SimSun"/>
                <w:b w:val="false"/>
                <w:i w:val="false"/>
                <w:color w:val="000000"/>
                <w:sz w:val="21"/>
              </w:rPr>
              <w:t xml:space="preserve"> </w:t>
            </w: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光学工程</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工学博士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光学工程</w:t>
            </w: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 xml:space="preserve"> </w:t>
      </w: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val="false"/>
          <w:i w:val="false"/>
          <w:color w:val="000000"/>
          <w:sz w:val="21"/>
        </w:rPr>
        <w:t>1、专业进阶路径：170学分</w:t>
      </w:r>
    </w:p>
    <w:p>
      <w:pPr>
        <w:spacing w:after="0"/>
        <w:ind w:left="0"/>
        <w:jc w:val="left"/>
      </w:pPr>
      <w:r>
        <w:rPr>
          <w:rFonts w:ascii="SimSun" w:hAnsi="SimSun"/>
          <w:b w:val="false"/>
          <w:i w:val="false"/>
          <w:color w:val="000000"/>
          <w:sz w:val="21"/>
        </w:rPr>
        <w:t xml:space="preserve">  本路径学生本博期间必须修满教学计划规定的170学分，包括通识教育课程44学分、专业培养课程67学分、专业进阶I修读24学分（研究生课程不少于18学分）、专业进阶II修读14学分（研究生课程不少于8学分）、融合创新能力培养模块21学分的修读。</w:t>
      </w:r>
    </w:p>
    <w:p>
      <w:pPr>
        <w:spacing w:after="0"/>
        <w:ind w:left="0"/>
        <w:jc w:val="left"/>
      </w:pPr>
      <w:r>
        <w:rPr>
          <w:rFonts w:ascii="SimSun" w:hAnsi="SimSun"/>
          <w:b w:val="false"/>
          <w:i w:val="false"/>
          <w:color w:val="000000"/>
          <w:sz w:val="21"/>
        </w:rPr>
        <w:t xml:space="preserve">  其中，本科学段需要完成149学分（含实践学分不低于37学分；含美育学分不少于2学分，其中至少在“美学和艺术史论类”或“艺术鉴赏和评论类”课程中修读1学分，并至少参与一项艺术实践活动；劳动教育不少于32学时，并满足劳动周教育要求），包括通识教育课程42学分、专业培养课程67学分、专业进阶模块修读24学分、融合创新能力培养16学分。</w:t>
      </w:r>
    </w:p>
    <w:p>
      <w:pPr>
        <w:spacing w:after="0"/>
        <w:ind w:left="0"/>
        <w:jc w:val="left"/>
      </w:pPr>
      <w:r>
        <w:rPr>
          <w:rFonts w:ascii="SimSun" w:hAnsi="SimSun"/>
          <w:b w:val="false"/>
          <w:i w:val="false"/>
          <w:color w:val="000000"/>
          <w:sz w:val="21"/>
        </w:rPr>
        <w:t>2、荣誉项目：176学分</w:t>
      </w:r>
    </w:p>
    <w:p>
      <w:pPr>
        <w:spacing w:after="0"/>
        <w:ind w:left="0"/>
        <w:jc w:val="left"/>
      </w:pPr>
      <w:r>
        <w:rPr>
          <w:rFonts w:ascii="SimSun" w:hAnsi="SimSun"/>
          <w:b w:val="false"/>
          <w:i w:val="false"/>
          <w:color w:val="000000"/>
          <w:sz w:val="21"/>
        </w:rPr>
        <w:t xml:space="preserve">  在专业进阶路径基础上，修读荣誉课程不少于6门课。荣誉项目课程设置和修读要求请见信息学院“荣誉项目”实施方案。下载地址：https://jwc.fudan.edu.cn/（复旦大学教务处）专业培养-常用文档。</w:t>
      </w:r>
    </w:p>
    <w:p>
      <w:pPr>
        <w:spacing w:after="0"/>
        <w:ind w:left="0"/>
        <w:jc w:val="left"/>
      </w:pPr>
      <w:r>
        <w:rPr>
          <w:rFonts w:ascii="SimSun" w:hAnsi="SimSun"/>
          <w:b w:val="false"/>
          <w:i w:val="false"/>
          <w:color w:val="000000"/>
          <w:sz w:val="21"/>
        </w:rPr>
        <w:t>3、跨学科发展路径：185学分</w:t>
      </w:r>
    </w:p>
    <w:p>
      <w:pPr>
        <w:spacing w:after="0"/>
        <w:ind w:left="0"/>
        <w:jc w:val="left"/>
      </w:pPr>
      <w:r>
        <w:rPr>
          <w:rFonts w:ascii="SimSun" w:hAnsi="SimSun"/>
          <w:b w:val="false"/>
          <w:i w:val="false"/>
          <w:color w:val="000000"/>
          <w:sz w:val="21"/>
        </w:rPr>
        <w:t xml:space="preserve">  在专业进阶路径或荣誉项目基础上，修读1个非本专业独立开设的学程15学分，具体要求见教务处学程实施方案。</w:t>
      </w:r>
    </w:p>
    <w:p>
      <w:pPr>
        <w:spacing w:after="0"/>
        <w:ind w:left="0"/>
        <w:jc w:val="left"/>
      </w:pPr>
      <w:r>
        <w:rPr>
          <w:rFonts w:ascii="SimSun" w:hAnsi="SimSun"/>
          <w:b w:val="false"/>
          <w:i w:val="false"/>
          <w:color w:val="000000"/>
          <w:sz w:val="21"/>
        </w:rPr>
        <w:t>4、电子信息科学与技术+AI人工智能双学士学位项目：213学分</w:t>
      </w:r>
    </w:p>
    <w:p>
      <w:pPr>
        <w:spacing w:after="0"/>
        <w:ind w:left="0"/>
        <w:jc w:val="left"/>
      </w:pPr>
      <w:r>
        <w:rPr>
          <w:rFonts w:ascii="SimSun" w:hAnsi="SimSun"/>
          <w:b w:val="false"/>
          <w:i w:val="false"/>
          <w:color w:val="000000"/>
          <w:sz w:val="21"/>
        </w:rPr>
        <w:t xml:space="preserve">  在专业进阶路径或荣誉项目基础上，修读人工智能专业项目课程43学分。具体要求见信息学院-电子信息科学与技术-信息与计算科学（人工智能方向）双学士学位项目培养方案。</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1. 4年级结束时，如达到学士学位要求者授予工学学士学位。</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（3）在此基础上，达到信息学院“荣誉证书”获得条件的授予“荣誉证书”，具体要求请见信息学院“荣誉项目”实施方案。</w:t>
      </w:r>
    </w:p>
    <w:p>
      <w:pPr>
        <w:spacing w:after="0"/>
        <w:ind w:left="0"/>
        <w:jc w:val="left"/>
      </w:pPr>
      <w:r>
        <w:rPr>
          <w:rFonts w:ascii="SimSun" w:hAnsi="SimSun"/>
          <w:b w:val="false"/>
          <w:i w:val="false"/>
          <w:color w:val="000000"/>
          <w:sz w:val="21"/>
        </w:rPr>
        <w:t>2. 本科学段主动退出和转段考核不合格退出本博融通计划的学生，需按照电子信息科学与技术本科“2+X+Y”培养方案修读课程，如达到学士学位要求者授予工学学士学位。</w:t>
      </w:r>
    </w:p>
    <w:p>
      <w:pPr>
        <w:spacing w:after="0"/>
        <w:ind w:left="0"/>
        <w:jc w:val="left"/>
      </w:pPr>
      <w:r>
        <w:rPr>
          <w:rFonts w:ascii="SimSun" w:hAnsi="SimSun"/>
          <w:b w:val="false"/>
          <w:i w:val="false"/>
          <w:color w:val="000000"/>
          <w:sz w:val="21"/>
        </w:rPr>
        <w:t>（二）研究生学位</w:t>
      </w:r>
    </w:p>
    <w:p>
      <w:pPr>
        <w:spacing w:after="0"/>
        <w:ind w:left="0"/>
        <w:jc w:val="left"/>
      </w:pPr>
      <w:r>
        <w:rPr>
          <w:rFonts w:ascii="SimSun" w:hAnsi="SimSun"/>
          <w:b w:val="false"/>
          <w:i w:val="false"/>
          <w:color w:val="000000"/>
          <w:sz w:val="21"/>
        </w:rPr>
        <w:t>1. 达到博士学位要求者授予光学工程工学博士学位，基本要求如下：</w:t>
      </w:r>
    </w:p>
    <w:p>
      <w:pPr>
        <w:spacing w:after="0"/>
        <w:ind w:left="0"/>
        <w:jc w:val="left"/>
      </w:pPr>
      <w:r>
        <w:rPr>
          <w:rFonts w:ascii="SimSun" w:hAnsi="SimSun"/>
          <w:b w:val="false"/>
          <w:i w:val="false"/>
          <w:color w:val="000000"/>
          <w:sz w:val="21"/>
        </w:rPr>
        <w:t xml:space="preserve"> （1）申请人提出学位论文答辩申请时，必须已修满学校规定的学分数，完成所有必修环节；所有课程成绩合格，其中学位课程平均绩点不低于2.5。</w:t>
      </w:r>
    </w:p>
    <w:p>
      <w:pPr>
        <w:spacing w:after="0"/>
        <w:ind w:left="0"/>
        <w:jc w:val="left"/>
      </w:pPr>
      <w:r>
        <w:rPr>
          <w:rFonts w:ascii="SimSun" w:hAnsi="SimSun"/>
          <w:b w:val="false"/>
          <w:i w:val="false"/>
          <w:color w:val="000000"/>
          <w:sz w:val="21"/>
        </w:rPr>
        <w:t>（2）通过科研活动，取得经同行评议认可的创新性成果，满足本学科博士学位授予标准。</w:t>
      </w:r>
    </w:p>
    <w:p>
      <w:pPr>
        <w:spacing w:after="0"/>
        <w:ind w:left="0"/>
        <w:jc w:val="left"/>
      </w:pPr>
      <w:r>
        <w:rPr>
          <w:rFonts w:ascii="SimSun" w:hAnsi="SimSun"/>
          <w:b w:val="false"/>
          <w:i w:val="false"/>
          <w:color w:val="000000"/>
          <w:sz w:val="21"/>
        </w:rPr>
        <w:t>（3）完成学位论文，并通过学位论文评阅（包括盲审）要求。</w:t>
      </w:r>
    </w:p>
    <w:p>
      <w:pPr>
        <w:spacing w:after="0"/>
        <w:ind w:left="0"/>
        <w:jc w:val="left"/>
      </w:pPr>
      <w:r>
        <w:rPr>
          <w:rFonts w:ascii="SimSun" w:hAnsi="SimSun"/>
          <w:b w:val="false"/>
          <w:i w:val="false"/>
          <w:color w:val="000000"/>
          <w:sz w:val="21"/>
        </w:rPr>
        <w:t>（4）通过学位论文答辩，通过学院学位评定委员会和学校学位评定委员会审议。</w:t>
      </w:r>
    </w:p>
    <w:p>
      <w:pPr>
        <w:spacing w:after="0"/>
        <w:ind w:left="0"/>
        <w:jc w:val="left"/>
      </w:pPr>
      <w:r>
        <w:rPr>
          <w:rFonts w:ascii="SimSun" w:hAnsi="SimSun"/>
          <w:b w:val="false"/>
          <w:i w:val="false"/>
          <w:color w:val="000000"/>
          <w:sz w:val="21"/>
        </w:rPr>
        <w:t>（5）基于学位论文工作的研究，要求申请人在申请学位时，除提交博士学位论文以外，还必须取得经同行评议认可的创新性成果，如在同行评议的高质量学术期刊上公开发表论文、或其他形式的经过同行评议认可的高质量学术成果，该成果是学位论文主要内容，且符合以下A、B、C条件之一：</w:t>
      </w:r>
    </w:p>
    <w:p>
      <w:pPr>
        <w:spacing w:after="0"/>
        <w:ind w:left="0"/>
        <w:jc w:val="left"/>
      </w:pPr>
      <w:r>
        <w:rPr>
          <w:rFonts w:ascii="SimSun" w:hAnsi="SimSun"/>
          <w:b w:val="false"/>
          <w:i w:val="false"/>
          <w:color w:val="000000"/>
          <w:sz w:val="21"/>
        </w:rPr>
        <w:t xml:space="preserve">  A. 博士期间科研成果达到导师要求，且第一单位发表或录用论文符合以下条件之一：</w:t>
      </w:r>
    </w:p>
    <w:p>
      <w:pPr>
        <w:spacing w:after="0"/>
        <w:ind w:left="0"/>
        <w:jc w:val="left"/>
      </w:pPr>
      <w:r>
        <w:rPr>
          <w:rFonts w:ascii="SimSun" w:hAnsi="SimSun"/>
          <w:b w:val="false"/>
          <w:i w:val="false"/>
          <w:color w:val="000000"/>
          <w:sz w:val="21"/>
        </w:rPr>
        <w:t xml:space="preserve">    a)1篇1作1区期刊论文；</w:t>
      </w:r>
    </w:p>
    <w:p>
      <w:pPr>
        <w:spacing w:after="0"/>
        <w:ind w:left="0"/>
        <w:jc w:val="left"/>
      </w:pPr>
      <w:r>
        <w:rPr>
          <w:rFonts w:ascii="SimSun" w:hAnsi="SimSun"/>
          <w:b w:val="false"/>
          <w:i w:val="false"/>
          <w:color w:val="000000"/>
          <w:sz w:val="21"/>
        </w:rPr>
        <w:t xml:space="preserve">    b)1篇1作2区期刊论文+1篇1作2-3区期刊论文；</w:t>
      </w:r>
    </w:p>
    <w:p>
      <w:pPr>
        <w:spacing w:after="0"/>
        <w:ind w:left="0"/>
        <w:jc w:val="left"/>
      </w:pPr>
      <w:r>
        <w:rPr>
          <w:rFonts w:ascii="SimSun" w:hAnsi="SimSun"/>
          <w:b w:val="false"/>
          <w:i w:val="false"/>
          <w:color w:val="000000"/>
          <w:sz w:val="21"/>
        </w:rPr>
        <w:t xml:space="preserve">    c)1篇1作2区期刊论文+1篇第二共一作1区期刊论文。</w:t>
      </w:r>
    </w:p>
    <w:p>
      <w:pPr>
        <w:spacing w:after="0"/>
        <w:ind w:left="0"/>
        <w:jc w:val="left"/>
      </w:pPr>
      <w:r>
        <w:rPr>
          <w:rFonts w:ascii="SimSun" w:hAnsi="SimSun"/>
          <w:b w:val="false"/>
          <w:i w:val="false"/>
          <w:color w:val="000000"/>
          <w:sz w:val="21"/>
        </w:rPr>
        <w:t xml:space="preserve">  B.博士期间科研成果以主要完成人获得国家科技奖励（排名前十）、省部级一等奖（排名前五）或二等奖（排名前三），博士研究成果为该奖励的关键贡献点，导师需向学位分委会提出申请，并提供相关证明材料，由学位分委员会进行认定。</w:t>
      </w:r>
    </w:p>
    <w:p>
      <w:pPr>
        <w:spacing w:after="0"/>
        <w:ind w:left="0"/>
        <w:jc w:val="left"/>
      </w:pPr>
      <w:r>
        <w:rPr>
          <w:rFonts w:ascii="SimSun" w:hAnsi="SimSun"/>
          <w:b w:val="false"/>
          <w:i w:val="false"/>
          <w:color w:val="000000"/>
          <w:sz w:val="21"/>
        </w:rPr>
        <w:t xml:space="preserve">  C.博士期间作出其他重要学术成果等特殊贡献，在论文送审前由导师向学位分委员会提出申请，由学位分委员会进行认定。   </w:t>
      </w:r>
    </w:p>
    <w:p>
      <w:pPr>
        <w:spacing w:after="0"/>
        <w:ind w:left="0"/>
        <w:jc w:val="left"/>
      </w:pPr>
      <w:r>
        <w:rPr>
          <w:rFonts w:ascii="SimSun" w:hAnsi="SimSun"/>
          <w:b w:val="false"/>
          <w:i w:val="false"/>
          <w:color w:val="000000"/>
          <w:sz w:val="21"/>
        </w:rPr>
        <w:t>2. 第二学段主动退出和博士生资格考核不合格退出本博融通计划的学生，如达到光学工程硕士学位要求者授予工学硕士学位，具体要求：</w:t>
      </w:r>
    </w:p>
    <w:p>
      <w:pPr>
        <w:spacing w:after="0"/>
        <w:ind w:left="0"/>
        <w:jc w:val="left"/>
      </w:pPr>
      <w:r>
        <w:rPr>
          <w:rFonts w:ascii="SimSun" w:hAnsi="SimSun"/>
          <w:b w:val="false"/>
          <w:i w:val="false"/>
          <w:color w:val="000000"/>
          <w:sz w:val="21"/>
        </w:rPr>
        <w:t>（1）申请人提出学位论文答辩申请时，必须已修满学校规定的学分数，完成所有必修环节；所有课程成绩合格，其中学位课程平均绩点原则上不低于2.5。</w:t>
      </w:r>
    </w:p>
    <w:p>
      <w:pPr>
        <w:spacing w:after="0"/>
        <w:ind w:left="0"/>
        <w:jc w:val="left"/>
      </w:pPr>
      <w:r>
        <w:rPr>
          <w:rFonts w:ascii="SimSun" w:hAnsi="SimSun"/>
          <w:b w:val="false"/>
          <w:i w:val="false"/>
          <w:color w:val="000000"/>
          <w:sz w:val="21"/>
        </w:rPr>
        <w:t>（2）通过科研活动，取得经同行评议认可的创新性成果，满足本学科硕士学位授予标准。</w:t>
      </w:r>
    </w:p>
    <w:p>
      <w:pPr>
        <w:spacing w:after="0"/>
        <w:ind w:left="0"/>
        <w:jc w:val="left"/>
      </w:pPr>
      <w:r>
        <w:rPr>
          <w:rFonts w:ascii="SimSun" w:hAnsi="SimSun"/>
          <w:b w:val="false"/>
          <w:i w:val="false"/>
          <w:color w:val="000000"/>
          <w:sz w:val="21"/>
        </w:rPr>
        <w:t>（3）完成学位论文，并通过学位论文评阅（包括盲审）要求。</w:t>
      </w:r>
    </w:p>
    <w:p>
      <w:pPr>
        <w:spacing w:after="0"/>
        <w:ind w:left="0"/>
        <w:jc w:val="left"/>
      </w:pPr>
      <w:r>
        <w:rPr>
          <w:rFonts w:ascii="SimSun" w:hAnsi="SimSun"/>
          <w:b w:val="false"/>
          <w:i w:val="false"/>
          <w:color w:val="000000"/>
          <w:sz w:val="21"/>
        </w:rPr>
        <w:t>（4）通过学位论文答辩，通过学院学位评定委员会和学校学位评定委员会审议。</w:t>
      </w:r>
    </w:p>
    <w:p>
      <w:pPr>
        <w:spacing w:after="0"/>
        <w:ind w:left="0"/>
        <w:jc w:val="left"/>
      </w:pPr>
      <w:r>
        <w:rPr>
          <w:rFonts w:ascii="SimSun" w:hAnsi="SimSun"/>
          <w:b w:val="false"/>
          <w:i w:val="false"/>
          <w:color w:val="000000"/>
          <w:sz w:val="21"/>
        </w:rPr>
        <w:t>（5）基于学位论文工作的研究，要求申请人在申请学位时，除提交硕士学位论文以外，还必须取得经同行评议认可的创新性研究成果，如在同行评议的较高质量学术期刊上公开发表学术论文、或其它形式的经过同行评议认可的较高质量学术成果，该成果是学位论文主要内容，且符合以下A、B条件之一：</w:t>
      </w:r>
    </w:p>
    <w:p>
      <w:pPr>
        <w:spacing w:after="0"/>
        <w:ind w:left="0"/>
        <w:jc w:val="left"/>
      </w:pPr>
      <w:r>
        <w:rPr>
          <w:rFonts w:ascii="SimSun" w:hAnsi="SimSun"/>
          <w:b w:val="false"/>
          <w:i w:val="false"/>
          <w:color w:val="000000"/>
          <w:sz w:val="21"/>
        </w:rPr>
        <w:t xml:space="preserve">  A.硕士期间科研成果达到导师要求，且第一单位发表或录用论文符合以下条件：1篇1作（或导师第一学生第二）A类或1-4区期刊论文。</w:t>
      </w:r>
    </w:p>
    <w:p>
      <w:pPr>
        <w:spacing w:after="0"/>
        <w:ind w:left="0"/>
        <w:jc w:val="left"/>
      </w:pPr>
      <w:r>
        <w:rPr>
          <w:rFonts w:ascii="SimSun" w:hAnsi="SimSun"/>
          <w:b w:val="false"/>
          <w:i w:val="false"/>
          <w:color w:val="000000"/>
          <w:sz w:val="21"/>
        </w:rPr>
        <w:t xml:space="preserve">  B.硕士期间作出其他重要学术成果等特殊贡献，论文送审前由导师向学位分委员会提出申请，由学位分委员会进行认定。</w:t>
      </w:r>
    </w:p>
    <w:p>
      <w:pPr>
        <w:spacing w:after="0"/>
        <w:ind w:left="0"/>
        <w:jc w:val="left"/>
      </w:pPr>
      <w:r>
        <w:rPr>
          <w:rFonts w:ascii="SimSun" w:hAnsi="SimSun"/>
          <w:b w:val="false"/>
          <w:i w:val="false"/>
          <w:color w:val="000000"/>
          <w:sz w:val="21"/>
        </w:rPr>
        <w:t xml:space="preserve">  注：期刊分区依据投稿当年或发表当年的《中国科学院文献情报中心期刊分区表》。A类期刊依据“中国光学工程学会关于《光学工程和光学领域高质量科技期刊分级目录》”（光工学字〔2022〕19号）中所列期刊清单（分级T1-T3），详见本学科学位授予标准。</w:t>
      </w:r>
    </w:p>
    <w:p>
      <w:pPr>
        <w:spacing w:after="0"/>
        <w:ind w:left="0"/>
        <w:jc w:val="left"/>
      </w:pP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 xml:space="preserve">  以12门光电融合的核心课程为基础建立了本研融通的专业核心课程体系，以学科领域为横、课程内容梯度为纵建立了难度逐级提升的本研融通的专业进阶课程体系。为鼓励学生挑战自我，电子信息与光电信息方向各自设立了10门荣誉课程可供修读，完成6门荣誉课程的基础上授予荣誉毕业证书。</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240"/>
        <w:gridCol w:w="1126"/>
        <w:gridCol w:w="1126"/>
        <w:gridCol w:w="1126"/>
        <w:gridCol w:w="1126"/>
        <w:gridCol w:w="1126"/>
        <w:gridCol w:w="1126"/>
        <w:gridCol w:w="1127"/>
        <w:gridCol w:w="1127"/>
        <w:gridCol w:w="1128"/>
        <w:gridCol w:w="1128"/>
        <w:gridCol w:w="1128"/>
      </w:tblGrid>
      <w:tr>
        <w:trPr>
          <w:trHeight w:val="45" w:hRule="atLeast"/>
        </w:trPr>
        <w:tc>
          <w:tcPr>
            <w:tcW w:w="124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备注</w:t>
            </w:r>
          </w:p>
        </w:tc>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课程代码数字部分的第一位代表了课程难度等级。</w:t>
            </w:r>
          </w:p>
        </w:tc>
      </w:tr>
      <w:tr>
        <w:trPr>
          <w:trHeight w:val="45" w:hRule="atLeast"/>
        </w:trPr>
        <w:tc>
          <w:tcPr>
            <w:tcW w:w="0" w:type="auto"/>
            <w:vMerge/>
            <w:tcBorders>
              <w:top w:val="nil"/>
              <w:bottom w:val="single" w:color="000000" w:sz="8"/>
              <w:right w:val="single" w:color="000000" w:sz="8"/>
            </w:tcBorders>
          </w:tcPr>
          <w:p/>
        </w:tc>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每学期选修学分不得超过32学分。</w:t>
            </w:r>
          </w:p>
        </w:tc>
      </w:tr>
    </w:tbl>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 xml:space="preserve">  本科阶段设立导论课程和无学分讨论班，引导学生早进课题组轮转，通过“复芏计划”激发创新志趣。研究生阶段强化科研训练，加强科学道德和学术规范教育，激励学生自主开展学术研究。多渠道支持学生参加国内国际高水平学术交流，鼓励学生参加国内外高水平创新竞赛，以赛促教、促学、促研。</w:t>
      </w:r>
    </w:p>
    <w:p>
      <w:pPr>
        <w:spacing w:after="0"/>
        <w:ind w:left="0"/>
        <w:jc w:val="left"/>
      </w:pPr>
      <w:r>
        <w:rPr>
          <w:rFonts w:ascii="SimSun" w:hAnsi="SimSun"/>
          <w:b w:val="false"/>
          <w:i w:val="false"/>
          <w:color w:val="000000"/>
          <w:sz w:val="21"/>
        </w:rPr>
        <w:t xml:space="preserve"> </w:t>
      </w: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 xml:space="preserve">  通识教育课程包括通识教育核心课程和专项教育课程。</w:t>
      </w:r>
    </w:p>
    <w:p>
      <w:pPr>
        <w:spacing w:after="0"/>
        <w:ind w:left="0"/>
        <w:jc w:val="left"/>
      </w:pPr>
      <w:r>
        <w:rPr>
          <w:rFonts w:ascii="SimSun" w:hAnsi="SimSun"/>
          <w:b w:val="false"/>
          <w:i w:val="false"/>
          <w:color w:val="000000"/>
          <w:sz w:val="21"/>
        </w:rPr>
        <w:t>1. 通识教育核心课程（28学分）</w:t>
      </w:r>
    </w:p>
    <w:p>
      <w:pPr>
        <w:spacing w:after="0"/>
        <w:ind w:left="0"/>
        <w:jc w:val="left"/>
      </w:pPr>
      <w:r>
        <w:rPr>
          <w:rFonts w:ascii="SimSun" w:hAnsi="SimSun"/>
          <w:b w:val="false"/>
          <w:i w:val="false"/>
          <w:color w:val="000000"/>
          <w:sz w:val="21"/>
        </w:rPr>
        <w:t xml:space="preserve">  要求修读28学分，含思想政治理论课21学分（其中研究生学位课2学分），七大模块课程6学分（美育学分不少于2学分），大学生国家安全教育1学分。</w:t>
      </w:r>
    </w:p>
    <w:p>
      <w:pPr>
        <w:spacing w:after="0"/>
        <w:ind w:left="0"/>
        <w:jc w:val="left"/>
      </w:pPr>
      <w:r>
        <w:rPr>
          <w:rFonts w:ascii="SimSun" w:hAnsi="SimSun"/>
          <w:b w:val="false"/>
          <w:i w:val="false"/>
          <w:color w:val="000000"/>
          <w:sz w:val="21"/>
        </w:rPr>
        <w:t xml:space="preserve">  本研融通课程在研究生课程类别一栏注明：学位课、选修课，该栏空白默认为本科生课程。</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3678"/>
        <w:gridCol w:w="1188"/>
        <w:gridCol w:w="1325"/>
        <w:gridCol w:w="1759"/>
        <w:gridCol w:w="2056"/>
        <w:gridCol w:w="1576"/>
        <w:gridCol w:w="1553"/>
        <w:gridCol w:w="1485"/>
        <w:gridCol w:w="1668"/>
        <w:gridCol w:w="2194"/>
        <w:gridCol w:w="938"/>
      </w:tblGrid>
      <w:tr>
        <w:trPr>
          <w:trHeight w:val="72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课程/模块名称</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学分</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周学时</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修读要求</w:t>
            </w:r>
          </w:p>
        </w:tc>
        <w:tc>
          <w:tcPr>
            <w:tcW w:w="205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课程代码</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含实践学分</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含美育学分</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含劳动教育总学时</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开课学期</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研究生课程类别</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备注</w:t>
            </w:r>
          </w:p>
        </w:tc>
      </w:tr>
      <w:tr>
        <w:trPr>
          <w:trHeight w:val="48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习近平新时代中国特色社会主义思想概论</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5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GEIP30002</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24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思想道德与法治</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5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GEIP20007</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24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中国近现代史纲要</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5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GEIP20006</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24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马克思主义基本原理</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5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GEIP40012</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72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毛泽东思想和中国特色社会主义理论体系概论</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5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GEIP30001</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中国马克思主义与当代 </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5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GEIP40001</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研究生学位课</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96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强国之路：形势、政策与使命</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5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见思想政治理论课模块课程列表</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1~4</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根据院系通知安排</w:t>
            </w:r>
          </w:p>
        </w:tc>
      </w:tr>
      <w:tr>
        <w:trPr>
          <w:trHeight w:val="144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思想政治理论课模块B组课程</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必选</w:t>
            </w:r>
          </w:p>
        </w:tc>
        <w:tc>
          <w:tcPr>
            <w:tcW w:w="0" w:type="auto"/>
            <w:vMerge/>
            <w:tcBorders>
              <w:top w:val="nil"/>
              <w:bottom w:val="single" w:color="000000" w:sz="8"/>
              <w:right w:val="single" w:color="000000" w:sz="8"/>
            </w:tcBorders>
          </w:tcP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1文史经典与文化传承模块课程</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759"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必选6学分(每模块≤1门)</w:t>
            </w:r>
          </w:p>
        </w:tc>
        <w:tc>
          <w:tcPr>
            <w:tcW w:w="205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见核心课程七大模块课程列表（回避第五模块）</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2哲学智慧与批判性思维模块课程</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3文明对话与世界视野模块课程</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4社会研究与当代中国模块课程</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6生态环境与生命关怀模块课程</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288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7艺术创作与审美体验模块课程</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768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大学生国家安全教育</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5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GESS10001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bl>
    <w:p>
      <w:pPr>
        <w:spacing w:after="0"/>
        <w:ind w:left="0"/>
        <w:jc w:val="left"/>
      </w:pPr>
      <w:r>
        <w:rPr>
          <w:rFonts w:ascii="SimSun" w:hAnsi="SimSun"/>
          <w:b w:val="false"/>
          <w:i w:val="false"/>
          <w:color w:val="000000"/>
          <w:sz w:val="21"/>
        </w:rPr>
        <w:t>2. 专项教育课程（16学分）</w:t>
      </w:r>
    </w:p>
    <w:p>
      <w:pPr>
        <w:spacing w:after="0"/>
        <w:ind w:left="0"/>
        <w:jc w:val="left"/>
      </w:pPr>
      <w:r>
        <w:rPr>
          <w:rFonts w:ascii="SimSun" w:hAnsi="SimSun"/>
          <w:b w:val="false"/>
          <w:i w:val="false"/>
          <w:color w:val="000000"/>
          <w:sz w:val="21"/>
        </w:rPr>
        <w:t>要求修读16学分。</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3552"/>
        <w:gridCol w:w="1384"/>
        <w:gridCol w:w="1176"/>
        <w:gridCol w:w="1661"/>
        <w:gridCol w:w="2283"/>
        <w:gridCol w:w="1384"/>
        <w:gridCol w:w="1615"/>
        <w:gridCol w:w="1430"/>
        <w:gridCol w:w="1776"/>
        <w:gridCol w:w="1731"/>
        <w:gridCol w:w="1408"/>
      </w:tblGrid>
      <w:tr>
        <w:trPr>
          <w:trHeight w:val="4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复旦大学英语水平测试</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必考</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24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大学英语基础课程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117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66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2283"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见大学外语课程列表</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24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大学英语进阶课程</w:t>
            </w:r>
          </w:p>
        </w:tc>
        <w:tc>
          <w:tcPr>
            <w:tcW w:w="1384"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大学英语高阶课程</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96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第二外语课程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96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人工智能AI-B（B0类课程）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见人工智能课程列表</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建议无编程基础者必修</w:t>
            </w:r>
          </w:p>
        </w:tc>
      </w:tr>
      <w:tr>
        <w:trPr>
          <w:trHeight w:val="4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人工智能AI-B（B1类课程）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体育课程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见体育课程列表</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1~4</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24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军事理论</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见军事理论</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24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军事技能</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见军事技能</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72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心理健康教育</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必选</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见专项教育课程心理健康教育部分</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总学时不少于32学时</w:t>
            </w:r>
          </w:p>
        </w:tc>
      </w:tr>
      <w:tr>
        <w:trPr>
          <w:trHeight w:val="52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实验室安全教育</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见专项教育课程实验室安全教育部分</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累计不少于16学时</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（44学分,本科要求42学分）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（67学分,本科要求67学分）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（30学分,本科要求30学分）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工学基础课程</w:t>
      </w:r>
      <w:r>
        <w:rPr>
          <w:rFonts w:ascii="SimSun" w:hAnsi="SimSun"/>
          <w:b/>
          <w:i w:val="false"/>
          <w:color w:val="000000"/>
          <w:sz w:val="21"/>
        </w:rPr>
        <w:t>（30学分,本科要求30学分）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电子系统导论</w:t>
            </w:r>
            <w:r>
              <w:br/>
            </w:r>
            <w:r>
              <w:br/>
            </w:r>
            <w:r>
              <w:rPr>
                <w:rFonts w:ascii="SimSun" w:hAnsi="SimSun"/>
                <w:b w:val="false"/>
                <w:i w:val="false"/>
                <w:color w:val="000000"/>
                <w:sz w:val="21"/>
              </w:rPr>
              <w:t>Introduction to Electronic Systems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EST10003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（37学分,本科要求37学分）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模拟电子学基础</w:t>
            </w:r>
            <w:r>
              <w:br/>
            </w:r>
            <w:r>
              <w:br/>
            </w:r>
            <w:r>
              <w:rPr>
                <w:rFonts w:ascii="SimSun" w:hAnsi="SimSun"/>
                <w:b w:val="false"/>
                <w:i w:val="false"/>
                <w:color w:val="000000"/>
                <w:sz w:val="21"/>
              </w:rPr>
              <w:t>Analog Electronics Foundation Course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数字逻辑基础</w:t>
            </w:r>
            <w:r>
              <w:br/>
            </w:r>
            <w:r>
              <w:br/>
            </w:r>
            <w:r>
              <w:rPr>
                <w:rFonts w:ascii="SimSun" w:hAnsi="SimSun"/>
                <w:b w:val="false"/>
                <w:i w:val="false"/>
                <w:color w:val="000000"/>
                <w:sz w:val="21"/>
              </w:rPr>
              <w:t>Fundamentals of Digital Logic</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概率、数理统计与随机过程</w:t>
            </w:r>
            <w:r>
              <w:br/>
            </w:r>
            <w:r>
              <w:br/>
            </w:r>
            <w:r>
              <w:rPr>
                <w:rFonts w:ascii="SimSun" w:hAnsi="SimSun"/>
                <w:b w:val="false"/>
                <w:i w:val="false"/>
                <w:color w:val="000000"/>
                <w:sz w:val="21"/>
              </w:rPr>
              <w:t>Probability, Mathematical Statistics and Stochastic Process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工程数学</w:t>
            </w:r>
            <w:r>
              <w:br/>
            </w:r>
            <w:r>
              <w:br/>
            </w:r>
            <w:r>
              <w:rPr>
                <w:rFonts w:ascii="SimSun" w:hAnsi="SimSun"/>
                <w:b w:val="false"/>
                <w:i w:val="false"/>
                <w:color w:val="000000"/>
                <w:sz w:val="21"/>
              </w:rPr>
              <w:t>Engineering Mathematics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高频电子线路B</w:t>
            </w:r>
            <w:r>
              <w:br/>
            </w:r>
            <w:r>
              <w:br/>
            </w:r>
            <w:r>
              <w:rPr>
                <w:rFonts w:ascii="SimSun" w:hAnsi="SimSun"/>
                <w:b w:val="false"/>
                <w:i w:val="false"/>
                <w:color w:val="000000"/>
                <w:sz w:val="21"/>
              </w:rPr>
              <w:t>High Frequency Circuits B</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信号与通信系统</w:t>
            </w:r>
            <w:r>
              <w:br/>
            </w:r>
            <w:r>
              <w:br/>
            </w:r>
            <w:r>
              <w:rPr>
                <w:rFonts w:ascii="SimSun" w:hAnsi="SimSun"/>
                <w:b w:val="false"/>
                <w:i w:val="false"/>
                <w:color w:val="000000"/>
                <w:sz w:val="21"/>
              </w:rPr>
              <w:t>Signal and Communication System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电磁场与电磁波A</w:t>
            </w:r>
            <w:r>
              <w:br/>
            </w:r>
            <w:r>
              <w:br/>
            </w:r>
            <w:r>
              <w:rPr>
                <w:rFonts w:ascii="SimSun" w:hAnsi="SimSun"/>
                <w:b w:val="false"/>
                <w:i w:val="false"/>
                <w:color w:val="000000"/>
                <w:sz w:val="21"/>
              </w:rPr>
              <w:t>Electromagnetic Fields and Electromagnetic Waves 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OPTI30004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数字信号处理A</w:t>
            </w:r>
            <w:r>
              <w:br/>
            </w:r>
            <w:r>
              <w:br/>
            </w:r>
            <w:r>
              <w:rPr>
                <w:rFonts w:ascii="SimSun" w:hAnsi="SimSun"/>
                <w:b w:val="false"/>
                <w:i w:val="false"/>
                <w:color w:val="000000"/>
                <w:sz w:val="21"/>
              </w:rPr>
              <w:t>Introduction to Digital Signal Processing 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半导体物理</w:t>
            </w:r>
            <w:r>
              <w:br/>
            </w:r>
            <w:r>
              <w:br/>
            </w:r>
            <w:r>
              <w:rPr>
                <w:rFonts w:ascii="SimSun" w:hAnsi="SimSun"/>
                <w:b w:val="false"/>
                <w:i w:val="false"/>
                <w:color w:val="000000"/>
                <w:sz w:val="21"/>
              </w:rPr>
              <w:t>Semiconductor Physics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光电信号检测原理与技术</w:t>
            </w:r>
            <w:r>
              <w:br/>
            </w:r>
            <w:r>
              <w:br/>
            </w:r>
            <w:r>
              <w:rPr>
                <w:rFonts w:ascii="SimSun" w:hAnsi="SimSun"/>
                <w:b w:val="false"/>
                <w:i w:val="false"/>
                <w:color w:val="000000"/>
                <w:sz w:val="21"/>
              </w:rPr>
              <w:t>Principles and Technologies of Optoelectronic Signal Detection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量子与统计</w:t>
            </w:r>
            <w:r>
              <w:br/>
            </w:r>
            <w:r>
              <w:br/>
            </w:r>
            <w:r>
              <w:rPr>
                <w:rFonts w:ascii="SimSun" w:hAnsi="SimSun"/>
                <w:b w:val="false"/>
                <w:i w:val="false"/>
                <w:color w:val="000000"/>
                <w:sz w:val="21"/>
              </w:rPr>
              <w:t>Quantum Mechanics and Statistical Physics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光学</w:t>
            </w:r>
            <w:r>
              <w:br/>
            </w:r>
            <w:r>
              <w:br/>
            </w:r>
            <w:r>
              <w:rPr>
                <w:rFonts w:ascii="SimSun" w:hAnsi="SimSun"/>
                <w:b w:val="false"/>
                <w:i w:val="false"/>
                <w:color w:val="000000"/>
                <w:sz w:val="21"/>
              </w:rPr>
              <w:t>Optics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OPTI20002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38学分。要求在本专业专业进阶模块I修读24学分（研究生课程不少于18学分）、专业进阶模块II修读14学分（研究生课程不少于8学分）。专业进阶模块I若有多修读学分，其可替代专业进阶模块II学分。进阶I中所选择的领域与方向必须与进阶II中所选择的领域与方向一致。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w:t>
      </w:r>
      <w:r>
        <w:rPr>
          <w:rFonts w:ascii="SimSun" w:hAnsi="SimSun"/>
          <w:b/>
          <w:i w:val="false"/>
          <w:color w:val="000000"/>
          <w:sz w:val="21"/>
        </w:rPr>
        <w:t>（38学分,本科要求24学分）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专业进阶模块I</w:t>
      </w:r>
      <w:r>
        <w:rPr>
          <w:rFonts w:ascii="SimSun" w:hAnsi="SimSun"/>
          <w:b/>
          <w:i w:val="false"/>
          <w:color w:val="000000"/>
          <w:sz w:val="21"/>
        </w:rPr>
        <w:t>（24学分）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应用光学</w:t>
            </w:r>
            <w:r>
              <w:br/>
            </w:r>
            <w:r>
              <w:br/>
            </w:r>
            <w:r>
              <w:rPr>
                <w:rFonts w:ascii="SimSun" w:hAnsi="SimSun"/>
                <w:b w:val="false"/>
                <w:i w:val="false"/>
                <w:color w:val="000000"/>
                <w:sz w:val="21"/>
              </w:rPr>
              <w:t>Applied Optics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OPTI20001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光电器件与系统</w:t>
            </w:r>
            <w:r>
              <w:br/>
            </w:r>
            <w:r>
              <w:br/>
            </w:r>
            <w:r>
              <w:rPr>
                <w:rFonts w:ascii="SimSun" w:hAnsi="SimSun"/>
                <w:b w:val="false"/>
                <w:i w:val="false"/>
                <w:color w:val="000000"/>
                <w:sz w:val="21"/>
              </w:rPr>
              <w:t>Optoelectronic Devices and Systems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EST30013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研究生学位基础课</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光纤通信原理与技术</w:t>
            </w:r>
            <w:r>
              <w:br/>
            </w:r>
            <w:r>
              <w:br/>
            </w:r>
            <w:r>
              <w:rPr>
                <w:rFonts w:ascii="SimSun" w:hAnsi="SimSun"/>
                <w:b w:val="false"/>
                <w:i w:val="false"/>
                <w:color w:val="000000"/>
                <w:sz w:val="21"/>
              </w:rPr>
              <w:t>Optical Fiber Communication: Principle and Technology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光子学物理基础</w:t>
            </w:r>
            <w:r>
              <w:br/>
            </w:r>
            <w:r>
              <w:br/>
            </w:r>
            <w:r>
              <w:rPr>
                <w:rFonts w:ascii="SimSun" w:hAnsi="SimSun"/>
                <w:b w:val="false"/>
                <w:i w:val="false"/>
                <w:color w:val="000000"/>
                <w:sz w:val="21"/>
              </w:rPr>
              <w:t>Fundamentals of Photonics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OPTI60002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非线性光学</w:t>
            </w:r>
            <w:r>
              <w:br/>
            </w:r>
            <w:r>
              <w:br/>
            </w:r>
            <w:r>
              <w:rPr>
                <w:rFonts w:ascii="SimSun" w:hAnsi="SimSun"/>
                <w:b w:val="false"/>
                <w:i w:val="false"/>
                <w:color w:val="000000"/>
                <w:sz w:val="21"/>
              </w:rPr>
              <w:t>Nonlinear Optics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OPTI60003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现代光学设计</w:t>
            </w:r>
            <w:r>
              <w:br/>
            </w:r>
            <w:r>
              <w:br/>
            </w:r>
            <w:r>
              <w:rPr>
                <w:rFonts w:ascii="SimSun" w:hAnsi="SimSun"/>
                <w:b w:val="false"/>
                <w:i w:val="false"/>
                <w:color w:val="000000"/>
                <w:sz w:val="21"/>
              </w:rPr>
              <w:t>Modern Optical Design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OPTI50036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资格考试科目（两门课只计一门） </w:t>
            </w: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Modern Optical Design</w:t>
            </w:r>
            <w:r>
              <w:br/>
            </w:r>
            <w:r>
              <w:br/>
            </w:r>
            <w:r>
              <w:rPr>
                <w:rFonts w:ascii="SimSun" w:hAnsi="SimSun"/>
                <w:b w:val="false"/>
                <w:i w:val="false"/>
                <w:color w:val="000000"/>
                <w:sz w:val="21"/>
              </w:rPr>
              <w:t>Modern Optical Design</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OPTI40013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资格考试科目（两门课只计一门）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研究生学位专业课</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固体的光学性质</w:t>
            </w:r>
            <w:r>
              <w:br/>
            </w:r>
            <w:r>
              <w:br/>
            </w:r>
            <w:r>
              <w:rPr>
                <w:rFonts w:ascii="SimSun" w:hAnsi="SimSun"/>
                <w:b w:val="false"/>
                <w:i w:val="false"/>
                <w:color w:val="000000"/>
                <w:sz w:val="21"/>
              </w:rPr>
              <w:t>Optical Properties of Solids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OPTI60004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光学检测技术</w:t>
            </w:r>
            <w:r>
              <w:br/>
            </w:r>
            <w:r>
              <w:br/>
            </w:r>
            <w:r>
              <w:rPr>
                <w:rFonts w:ascii="SimSun" w:hAnsi="SimSun"/>
                <w:b w:val="false"/>
                <w:i w:val="false"/>
                <w:color w:val="000000"/>
                <w:sz w:val="21"/>
              </w:rPr>
              <w:t>Optical Testing Technology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OPTI50046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现代信息光学</w:t>
            </w:r>
            <w:r>
              <w:br/>
            </w:r>
            <w:r>
              <w:br/>
            </w:r>
            <w:r>
              <w:rPr>
                <w:rFonts w:ascii="SimSun" w:hAnsi="SimSun"/>
                <w:b w:val="false"/>
                <w:i w:val="false"/>
                <w:color w:val="000000"/>
                <w:sz w:val="21"/>
              </w:rPr>
              <w:t>Modern Information Optics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OPTI50018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激光原理与技术</w:t>
            </w:r>
            <w:r>
              <w:br/>
            </w:r>
            <w:r>
              <w:br/>
            </w:r>
            <w:r>
              <w:rPr>
                <w:rFonts w:ascii="SimSun" w:hAnsi="SimSun"/>
                <w:b w:val="false"/>
                <w:i w:val="false"/>
                <w:color w:val="000000"/>
                <w:sz w:val="21"/>
              </w:rPr>
              <w:t>Principles and Application of Laser Technology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生物光子学</w:t>
            </w:r>
            <w:r>
              <w:br/>
            </w:r>
            <w:r>
              <w:br/>
            </w:r>
            <w:r>
              <w:rPr>
                <w:rFonts w:ascii="SimSun" w:hAnsi="SimSun"/>
                <w:b w:val="false"/>
                <w:i w:val="false"/>
                <w:color w:val="000000"/>
                <w:sz w:val="21"/>
              </w:rPr>
              <w:t>Biophotonics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OPTI60005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两门课程只计一门 </w:t>
            </w: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Biophotonics</w:t>
            </w:r>
            <w:r>
              <w:br/>
            </w:r>
            <w:r>
              <w:br/>
            </w:r>
            <w:r>
              <w:rPr>
                <w:rFonts w:ascii="SimSun" w:hAnsi="SimSun"/>
                <w:b w:val="false"/>
                <w:i w:val="false"/>
                <w:color w:val="000000"/>
                <w:sz w:val="21"/>
              </w:rPr>
              <w:t>Biophotonics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OPTI50045</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两门课程只计一门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专业进阶模块II</w:t>
      </w:r>
      <w:r>
        <w:rPr>
          <w:rFonts w:ascii="SimSun" w:hAnsi="SimSun"/>
          <w:b/>
          <w:i w:val="false"/>
          <w:color w:val="000000"/>
          <w:sz w:val="21"/>
        </w:rPr>
        <w:t>（14学分）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集成光学</w:t>
            </w:r>
            <w:r>
              <w:br/>
            </w:r>
            <w:r>
              <w:br/>
            </w:r>
            <w:r>
              <w:rPr>
                <w:rFonts w:ascii="SimSun" w:hAnsi="SimSun"/>
                <w:b w:val="false"/>
                <w:i w:val="false"/>
                <w:color w:val="000000"/>
                <w:sz w:val="21"/>
              </w:rPr>
              <w:t>Integrated Optics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现代光子学</w:t>
            </w:r>
            <w:r>
              <w:br/>
            </w:r>
            <w:r>
              <w:br/>
            </w:r>
            <w:r>
              <w:rPr>
                <w:rFonts w:ascii="SimSun" w:hAnsi="SimSun"/>
                <w:b w:val="false"/>
                <w:i w:val="false"/>
                <w:color w:val="000000"/>
                <w:sz w:val="21"/>
              </w:rPr>
              <w:t>Modern Photonics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光子学器件与工艺</w:t>
            </w:r>
            <w:r>
              <w:br/>
            </w:r>
            <w:r>
              <w:br/>
            </w:r>
            <w:r>
              <w:rPr>
                <w:rFonts w:ascii="SimSun" w:hAnsi="SimSun"/>
                <w:b w:val="false"/>
                <w:i w:val="false"/>
                <w:color w:val="000000"/>
                <w:sz w:val="21"/>
              </w:rPr>
              <w:t>Photonic Devices and Technology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OPTI40002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工程图学及应用</w:t>
            </w:r>
            <w:r>
              <w:br/>
            </w:r>
            <w:r>
              <w:br/>
            </w:r>
            <w:r>
              <w:rPr>
                <w:rFonts w:ascii="SimSun" w:hAnsi="SimSun"/>
                <w:b w:val="false"/>
                <w:i w:val="false"/>
                <w:color w:val="000000"/>
                <w:sz w:val="21"/>
              </w:rPr>
              <w:t xml:space="preserve">Engineering Graphics and Its Applications </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光谱技术与应用</w:t>
            </w:r>
            <w:r>
              <w:br/>
            </w:r>
            <w:r>
              <w:br/>
            </w:r>
            <w:r>
              <w:rPr>
                <w:rFonts w:ascii="SimSun" w:hAnsi="SimSun"/>
                <w:b w:val="false"/>
                <w:i w:val="false"/>
                <w:color w:val="000000"/>
                <w:sz w:val="21"/>
              </w:rPr>
              <w:t>Spectroscopy and Its Applications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OPTI40005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智能光电系统导论</w:t>
            </w:r>
            <w:r>
              <w:br/>
            </w:r>
            <w:r>
              <w:br/>
            </w:r>
            <w:r>
              <w:rPr>
                <w:rFonts w:ascii="SimSun" w:hAnsi="SimSun"/>
                <w:b w:val="false"/>
                <w:i w:val="false"/>
                <w:color w:val="000000"/>
                <w:sz w:val="21"/>
              </w:rPr>
              <w:t>Introduction to Intelligent Optoelectronic Systems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OPTI50022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LED器件及应用技术</w:t>
            </w:r>
            <w:r>
              <w:br/>
            </w:r>
            <w:r>
              <w:br/>
            </w:r>
            <w:r>
              <w:rPr>
                <w:rFonts w:ascii="SimSun" w:hAnsi="SimSun"/>
                <w:b w:val="false"/>
                <w:i w:val="false"/>
                <w:color w:val="000000"/>
                <w:sz w:val="21"/>
              </w:rPr>
              <w:t>LED and Its Application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数字图像处理B</w:t>
            </w:r>
            <w:r>
              <w:br/>
            </w:r>
            <w:r>
              <w:br/>
            </w:r>
            <w:r>
              <w:rPr>
                <w:rFonts w:ascii="SimSun" w:hAnsi="SimSun"/>
                <w:b w:val="false"/>
                <w:i w:val="false"/>
                <w:color w:val="000000"/>
                <w:sz w:val="21"/>
              </w:rPr>
              <w:t>Digital Image Processing B</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量子光学</w:t>
            </w:r>
            <w:r>
              <w:br/>
            </w:r>
            <w:r>
              <w:br/>
            </w:r>
            <w:r>
              <w:rPr>
                <w:rFonts w:ascii="SimSun" w:hAnsi="SimSun"/>
                <w:b w:val="false"/>
                <w:i w:val="false"/>
                <w:color w:val="000000"/>
                <w:sz w:val="21"/>
              </w:rPr>
              <w:t>Quantum Optics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OPTI40001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研究生选修课程</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AI增强仿真学：理论与实践</w:t>
            </w:r>
            <w:r>
              <w:br/>
            </w:r>
            <w:r>
              <w:br/>
            </w:r>
            <w:r>
              <w:rPr>
                <w:rFonts w:ascii="SimSun" w:hAnsi="SimSun"/>
                <w:b w:val="false"/>
                <w:i w:val="false"/>
                <w:color w:val="000000"/>
                <w:sz w:val="21"/>
              </w:rPr>
              <w:t>Artificial Intelligence Enhanced Simulations: Theory and Application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AIT310027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工程伦理与研究方法</w:t>
            </w:r>
            <w:r>
              <w:br/>
            </w:r>
            <w:r>
              <w:br/>
            </w:r>
            <w:r>
              <w:rPr>
                <w:rFonts w:ascii="SimSun" w:hAnsi="SimSun"/>
                <w:b w:val="false"/>
                <w:i w:val="false"/>
                <w:color w:val="000000"/>
                <w:sz w:val="21"/>
              </w:rPr>
              <w:t>Engineering Ethics and Research Methodology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EIE50005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现代光学仪器系统设计</w:t>
            </w:r>
            <w:r>
              <w:br/>
            </w:r>
            <w:r>
              <w:br/>
            </w:r>
            <w:r>
              <w:rPr>
                <w:rFonts w:ascii="SimSun" w:hAnsi="SimSun"/>
                <w:b w:val="false"/>
                <w:i w:val="false"/>
                <w:color w:val="000000"/>
                <w:sz w:val="21"/>
              </w:rPr>
              <w:t>Modern Optical Instrument System Design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OPTI50041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激光工程</w:t>
            </w:r>
            <w:r>
              <w:br/>
            </w:r>
            <w:r>
              <w:br/>
            </w:r>
            <w:r>
              <w:rPr>
                <w:rFonts w:ascii="SimSun" w:hAnsi="SimSun"/>
                <w:b w:val="false"/>
                <w:i w:val="false"/>
                <w:color w:val="000000"/>
                <w:sz w:val="21"/>
              </w:rPr>
              <w:t>Lazer Engineering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OPTI40010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现代光学显微技术及应用</w:t>
            </w:r>
            <w:r>
              <w:br/>
            </w:r>
            <w:r>
              <w:br/>
            </w:r>
            <w:r>
              <w:rPr>
                <w:rFonts w:ascii="SimSun" w:hAnsi="SimSun"/>
                <w:b w:val="false"/>
                <w:i w:val="false"/>
                <w:color w:val="000000"/>
                <w:sz w:val="21"/>
              </w:rPr>
              <w:t>Modern optical microscopy: technology and applications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OPTI50038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光学薄膜设计</w:t>
            </w:r>
            <w:r>
              <w:br/>
            </w:r>
            <w:r>
              <w:br/>
            </w:r>
            <w:r>
              <w:rPr>
                <w:rFonts w:ascii="SimSun" w:hAnsi="SimSun"/>
                <w:b w:val="false"/>
                <w:i w:val="false"/>
                <w:color w:val="000000"/>
                <w:sz w:val="21"/>
              </w:rPr>
              <w:t>Optical Film Design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OPTI70001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偏振光学原理与应用</w:t>
            </w:r>
            <w:r>
              <w:br/>
            </w:r>
            <w:r>
              <w:br/>
            </w:r>
            <w:r>
              <w:rPr>
                <w:rFonts w:ascii="SimSun" w:hAnsi="SimSun"/>
                <w:b w:val="false"/>
                <w:i w:val="false"/>
                <w:color w:val="000000"/>
                <w:sz w:val="21"/>
              </w:rPr>
              <w:t>Principles and Applications of Polarized Light</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OPTI50035</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（44学分）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44学分。要求修读荣誉课程不低于24学分（不少于6门课），且满足专业进阶模块I修读24学分（研究生课程不少于18学分）、专业进阶模块II修读14学分（研究生课程不少于8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（53学分）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53学分。要求在本专业专业进阶模块I修读24学分（研究生课程不少于18学分）、专业进阶模块II修读14学分（研究生课程不少于8学分）、1个非本专业独立开设的学程15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（53学分）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53学分。要求在本专业专业进阶模块I修读24学分（研究生课程不少于18学分）、专业进阶模块II修读14学分（研究生课程不少于8学分）、1个创新创业学程15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（21学分）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 全周期的科研训练体系，在1、2年级设立光电融合领域前沿导论课和无学分讨论班，引导学生早进课题组轮转，培育兴趣。3年级通过2学期的科研实践训练，完成1项复芏计划（FDUROP）项目（䇹政、望道、登辉和曦源），激发创新志趣。
       </w:t>
      </w:r>
      <w:r>
        <w:br/>
      </w:r>
      <w:r>
        <w:rPr>
          <w:rFonts w:ascii="SimSun" w:hAnsi="SimSun"/>
          <w:b w:val="false"/>
          <w:i w:val="false"/>
          <w:color w:val="000000"/>
          <w:sz w:val="21"/>
        </w:rPr>
        <w:t xml:space="preserve">
       </w:t>
      </w:r>
      <w:r>
        <w:br/>
      </w:r>
      <w:r>
        <w:rPr>
          <w:rFonts w:ascii="SimSun" w:hAnsi="SimSun"/>
          <w:b w:val="false"/>
          <w:i w:val="false"/>
          <w:color w:val="000000"/>
          <w:sz w:val="21"/>
        </w:rPr>
        <w:t xml:space="preserve">2. 多渠道支持学生参加国内国际高水平学术交流，鼓励学生参加国内国际高水平创新竞赛（中国国际大学生创新大赛、全国大学生电子设计竞赛、全国大学生光电设计竞赛、“挑战杯”全国大学生课外学术科技作品竞赛、中国大学生工程实践与创新能力大赛等）。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模拟与数字电路实验</w:t>
            </w:r>
            <w:r>
              <w:br/>
            </w:r>
            <w:r>
              <w:br/>
            </w:r>
            <w:r>
              <w:rPr>
                <w:rFonts w:ascii="SimSun" w:hAnsi="SimSun"/>
                <w:b w:val="false"/>
                <w:i w:val="false"/>
                <w:color w:val="000000"/>
                <w:sz w:val="21"/>
              </w:rPr>
              <w:t>Analog and Digital Circuit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光学实验A</w:t>
            </w:r>
            <w:r>
              <w:br/>
            </w:r>
            <w:r>
              <w:br/>
            </w:r>
            <w:r>
              <w:rPr>
                <w:rFonts w:ascii="SimSun" w:hAnsi="SimSun"/>
                <w:b w:val="false"/>
                <w:i w:val="false"/>
                <w:color w:val="000000"/>
                <w:sz w:val="21"/>
              </w:rPr>
              <w:t>Experiments in Optics 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OPTI30005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微机原理与接口实验</w:t>
            </w:r>
            <w:r>
              <w:br/>
            </w:r>
            <w:r>
              <w:br/>
            </w:r>
            <w:r>
              <w:rPr>
                <w:rFonts w:ascii="SimSun" w:hAnsi="SimSun"/>
                <w:b w:val="false"/>
                <w:i w:val="false"/>
                <w:color w:val="000000"/>
                <w:sz w:val="21"/>
              </w:rPr>
              <w:t>MicroComputer Architecture and Interfacing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微机原理与接口实验与光电综合实验二选一</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光电综合实验</w:t>
            </w:r>
            <w:r>
              <w:br/>
            </w:r>
            <w:r>
              <w:br/>
            </w:r>
            <w:r>
              <w:rPr>
                <w:rFonts w:ascii="SimSun" w:hAnsi="SimSun"/>
                <w:b w:val="false"/>
                <w:i w:val="false"/>
                <w:color w:val="000000"/>
                <w:sz w:val="21"/>
              </w:rPr>
              <w:t>Advanced Experiments in Optoelectronics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微机原理与接口实验与光电综合实验二选一</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前沿讲座I</w:t>
            </w:r>
            <w:r>
              <w:br/>
            </w:r>
            <w:r>
              <w:br/>
            </w:r>
            <w:r>
              <w:rPr>
                <w:rFonts w:ascii="SimSun" w:hAnsi="SimSun"/>
                <w:b w:val="false"/>
                <w:i w:val="false"/>
                <w:color w:val="000000"/>
                <w:sz w:val="21"/>
              </w:rPr>
              <w:t>Frontiers in Information Science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八位院士授课</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前沿讲座Ⅱ</w:t>
            </w:r>
            <w:r>
              <w:br/>
            </w:r>
            <w:r>
              <w:br/>
            </w:r>
            <w:r>
              <w:rPr>
                <w:rFonts w:ascii="SimSun" w:hAnsi="SimSun"/>
                <w:b w:val="false"/>
                <w:i w:val="false"/>
                <w:color w:val="000000"/>
                <w:sz w:val="21"/>
              </w:rPr>
              <w:t>Frontiers in Information ScienceⅡ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产业界知名人士授课</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可用复芏计划成果为论文主要内容</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r>
              <w:br/>
            </w:r>
            <w:r>
              <w:br/>
            </w:r>
            <w:r>
              <w:rPr>
                <w:rFonts w:ascii="SimSun" w:hAnsi="SimSun"/>
                <w:b w:val="false"/>
                <w:i w:val="false"/>
                <w:color w:val="000000"/>
                <w:sz w:val="21"/>
              </w:rPr>
              <w:t>Academic English</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研究生专业论文写作训练</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相辉前沿专题</w:t>
            </w:r>
            <w:r>
              <w:br/>
            </w:r>
            <w:r>
              <w:br/>
            </w:r>
            <w:r>
              <w:rPr>
                <w:rFonts w:ascii="SimSun" w:hAnsi="SimSun"/>
                <w:b w:val="false"/>
                <w:i w:val="false"/>
                <w:color w:val="000000"/>
                <w:sz w:val="21"/>
              </w:rPr>
              <w:t>Xianghui Frontier Lecutres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MATH10025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科研实践II</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第3、4学期，需在各个研究方向的无学分讨论班轮转，学期结束需获得相应方向讨论班老师签字确认。</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第5、6学期，需要承担1项复芏计划，详见复旦大学本科生学术研究资助计划管理办法。</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 研究生学段必选一个学期的前沿讲座课程（2学分）（在“光电研究前沿讲座”，“物理电子学前沿讲座”（EST70028），“智能电子与系统前沿技术”（EST70060）中任选一门），期末时由课程负责老师对学生进行考核，并给出成绩。成绩为D-以上为通过。
2. 依托光伏科学与技术全国重点实验室、电磁波信息科学教育部重点实验室、上海市低轨卫星工程研究中心、上海市北斗智慧应用中心、上海市智能光电与感知前沿科学研究基地、上海市超精密光学制造工程技术研究中心、中英天空地融合网络实验室、中国铁塔-复旦大学位置计算创新实验室等科研平台，积极承担国家重大科研任务。</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1.研究生学段必须完成2个学期全岗的本科生课程助教。指导老师评价为合格方为通过。
2. 依托华为、赛力斯等企业（复旦大学-华为“智能基座”产教融合协同育人基地，复旦大学光本位科技未来计算硬件与系统校企联合实验室、复旦大学信息学院-千寻位置网络有限公司教学实习实训基地）等建立实习（实训）机制，以寒暑期训练营等形式开展产学交替培养。</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原则上应到具有世界一流水平的境外机构进行不少于一学期的学习、研究或联合培养。需参加至少1次高水平国际会议并作报告。</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在第10学期完成，详见未来信息创新学院论文开题实施细则</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在第10学期完成（4~6年级期间有2次申请机会)</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在第12学期完成，见信息学院中期考核实施细则</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博士学位论文预审由院系组织，具体参照《复旦大学博士、硕士学位论文预审办法》《复旦大学博士研究生培养分流退出实施办法》及院系相关文件规定执行。</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