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2025行政管理（公共政策）-人工智能双学士学位复合型人才培养项目本硕融通培养方案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公共管理学为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对接国家和上海市政府提出的人工智能（AI）专业人才培养的建设需求，秉持“宽口径、厚基础、重能力、求创新”的人才培养理念，构建了“2+X+Y”培养模式（2是通识和专业教育，X是多元发展路径，Y为融合创新能力），致力于培养德智体美劳全面发展，拥有扎实的公共政策与行政管理理论基础以及人工智能基础知识与关键技能的复合型创新人才，能够结合公共管理、政治学、人工智能、计算机科学等跨学科背景，在党政机关、企事业单位、社会团体从事管理工作以及人工智能相关研究与开发工作。</w:t>
      </w:r>
      <w:r>
        <w:br/>
      </w:r>
      <w:r>
        <w:br/>
      </w:r>
      <w:r>
        <w:br/>
      </w:r>
      <w:r>
        <w:br/>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系统掌握马克思主义基本原理，熟练掌握公共政策学、行政管理学、政治学、人工智能科学、计算机科学的基本理论知识；具备辩证唯物主义和历史唯物主义的基本观点和分析方法；深入了解社会治理与公共服务以及党政管理相关的法律、制度、方针、政策；熟练掌握一门外语；了解公共政策、行政管理、人工智能的理论前沿以及政治学、管理学、法学、经济学、计算机科学等相关学科的发展动态；掌握应用人工智能大模型工具以及多学科文献检索、资料查询的基本方法，具有公共政策与人工智能相关领域的科学研究能力。</w:t>
      </w:r>
      <w:r>
        <w:br/>
      </w:r>
      <w:r>
        <w:br/>
      </w:r>
      <w:r>
        <w:rPr>
          <w:rFonts w:ascii="SimSun" w:hAnsi="SimSun"/>
          <w:b w:val="false"/>
          <w:i w:val="false"/>
          <w:color w:val="000000"/>
          <w:sz w:val="21"/>
        </w:rPr>
        <w:t>科学研究能力与水平的基本要求：</w:t>
      </w:r>
      <w:r>
        <w:br/>
      </w:r>
      <w:r>
        <w:br/>
      </w:r>
      <w:r>
        <w:rPr>
          <w:rFonts w:ascii="SimSun" w:hAnsi="SimSun"/>
          <w:b w:val="false"/>
          <w:i w:val="false"/>
          <w:color w:val="000000"/>
          <w:sz w:val="21"/>
        </w:rPr>
        <w:t>（1）具备扎实而深厚的专业理论基础和较强的评析能力；</w:t>
      </w:r>
      <w:r>
        <w:br/>
      </w:r>
      <w:r>
        <w:br/>
      </w:r>
      <w:r>
        <w:rPr>
          <w:rFonts w:ascii="SimSun" w:hAnsi="SimSun"/>
          <w:b w:val="false"/>
          <w:i w:val="false"/>
          <w:color w:val="000000"/>
          <w:sz w:val="21"/>
        </w:rPr>
        <w:t>（2）对所在二级学科内的前沿理论问题有深入了解，对所在一级学科其他领域的理论问题有基本认识；</w:t>
      </w:r>
      <w:r>
        <w:br/>
      </w:r>
      <w:r>
        <w:br/>
      </w:r>
      <w:r>
        <w:rPr>
          <w:rFonts w:ascii="SimSun" w:hAnsi="SimSun"/>
          <w:b w:val="false"/>
          <w:i w:val="false"/>
          <w:color w:val="000000"/>
          <w:sz w:val="21"/>
        </w:rPr>
        <w:t>（3）能作为本学科领域的学术研究骨干，独立开展专题研究并带动其他人参与学术项目；</w:t>
      </w:r>
      <w:r>
        <w:br/>
      </w:r>
      <w:r>
        <w:br/>
      </w:r>
      <w:r>
        <w:rPr>
          <w:rFonts w:ascii="SimSun" w:hAnsi="SimSun"/>
          <w:b w:val="false"/>
          <w:i w:val="false"/>
          <w:color w:val="000000"/>
          <w:sz w:val="21"/>
        </w:rPr>
        <w:t>（4）能熟练运用第一外语进行原著阅读与专业论文写作；</w:t>
      </w:r>
      <w:r>
        <w:br/>
      </w:r>
      <w:r>
        <w:br/>
      </w:r>
      <w:r>
        <w:rPr>
          <w:rFonts w:ascii="SimSun" w:hAnsi="SimSun"/>
          <w:b w:val="false"/>
          <w:i w:val="false"/>
          <w:color w:val="000000"/>
          <w:sz w:val="21"/>
        </w:rPr>
        <w:t>（5）精通现代科研信息技术与工具应用；</w:t>
      </w:r>
      <w:r>
        <w:br/>
      </w:r>
      <w:r>
        <w:br/>
      </w:r>
      <w:r>
        <w:rPr>
          <w:rFonts w:ascii="SimSun" w:hAnsi="SimSun"/>
          <w:b w:val="false"/>
          <w:i w:val="false"/>
          <w:color w:val="000000"/>
          <w:sz w:val="21"/>
        </w:rPr>
        <w:t>（6）博士学位论文答辩后经修改能达到正式出版水平；</w:t>
      </w:r>
      <w:r>
        <w:br/>
      </w:r>
      <w:r>
        <w:br/>
      </w:r>
      <w:r>
        <w:rPr>
          <w:rFonts w:ascii="SimSun" w:hAnsi="SimSun"/>
          <w:b w:val="false"/>
          <w:i w:val="false"/>
          <w:color w:val="000000"/>
          <w:sz w:val="21"/>
        </w:rPr>
        <w:t>（7）能够在本专业范围内独立开设两门以上基础课及一门以上新开设课程。</w:t>
      </w:r>
    </w:p>
    <w:p>
      <w:pPr>
        <w:spacing w:after="0"/>
        <w:ind w:left="0"/>
        <w:jc w:val="left"/>
      </w:pPr>
      <w:r>
        <w:drawing>
          <wp:inline distT="0" distB="0" distL="0" distR="0">
            <wp:extent cx="50630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行政管理（公共政策）-人工智能双学士学位复合型人才培养项目培养方案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行政管理（公共政策）-人工智能双学士学位复合型人才培养项目本硕融通培养方案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190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33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硕期间必须修满教学计划规定的207学分（含实践学分不低于31.5学分；含美育学分不少于2学分，其中至少在“美学和艺术史论类”或“艺术鉴赏和评论类”课程中修读1学分，并至少参与一项艺术实践活动；劳动教育不少于32学时，并满足劳动周教育要求），包括通识教育课程45学分（其中研究生学位课3学分）、全球领导力课程模块105学分、本硕融通衔接模块25学分、硕士实务实践高阶模块10学分、人工智能专业进阶课程8学分、满足融合创新能力模块的修读。</w:t>
      </w:r>
      <w:r>
        <w:br/>
      </w:r>
      <w:r>
        <w:br/>
      </w:r>
      <w:r>
        <w:rPr>
          <w:rFonts w:ascii="SimSun" w:hAnsi="SimSun"/>
          <w:b w:val="false"/>
          <w:i w:val="false"/>
          <w:color w:val="000000"/>
          <w:sz w:val="21"/>
        </w:rPr>
        <w:t>其中，本科学段需要完成190学分，同时满足融合创新能力模块要求的修读。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r>
        <w:br/>
      </w:r>
      <w:r>
        <w:br/>
      </w:r>
      <w:r>
        <w:rPr>
          <w:rFonts w:ascii="SimSun" w:hAnsi="SimSun"/>
          <w:b w:val="false"/>
          <w:i w:val="false"/>
          <w:color w:val="000000"/>
          <w:sz w:val="21"/>
        </w:rPr>
        <w:t>四年级结束时，如达到学士学位要求者授予管理学学士学位。</w:t>
      </w:r>
      <w:r>
        <w:br/>
      </w:r>
      <w:r>
        <w:br/>
      </w:r>
      <w:r>
        <w:rPr>
          <w:rFonts w:ascii="SimSun" w:hAnsi="SimSun"/>
          <w:b w:val="false"/>
          <w:i w:val="false"/>
          <w:color w:val="000000"/>
          <w:sz w:val="21"/>
        </w:rPr>
        <w:t>（二）研究生学位</w:t>
      </w:r>
      <w:r>
        <w:br/>
      </w:r>
      <w:r>
        <w:br/>
      </w:r>
      <w:r>
        <w:rPr>
          <w:rFonts w:ascii="SimSun" w:hAnsi="SimSun"/>
          <w:b w:val="false"/>
          <w:i w:val="false"/>
          <w:color w:val="000000"/>
          <w:sz w:val="21"/>
        </w:rPr>
        <w:t>1、如达到硕士学位要求者授予管理学硕士学位。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本硕双导师制实务实践训练体系注重培养学生在国家治理与全球治理领域的实务工作能力，增强应对复杂治理问题的实践经验和专业素养，提升就业竞争力与胜任力。双导师拟由学术导师（专任教师）与行业导师（政府、企事业单位等业内人士）组成。</w:t>
      </w:r>
      <w:r>
        <w:br/>
      </w:r>
      <w:r>
        <w:br/>
      </w:r>
      <w:r>
        <w:rPr>
          <w:rFonts w:ascii="SimSun" w:hAnsi="SimSun"/>
          <w:b w:val="false"/>
          <w:i w:val="false"/>
          <w:color w:val="000000"/>
          <w:sz w:val="21"/>
        </w:rPr>
        <w:t xml:space="preserve">        1.本科阶段培养设计</w:t>
      </w:r>
      <w:r>
        <w:br/>
      </w:r>
      <w:r>
        <w:br/>
      </w:r>
      <w:r>
        <w:rPr>
          <w:rFonts w:ascii="SimSun" w:hAnsi="SimSun"/>
          <w:b w:val="false"/>
          <w:i w:val="false"/>
          <w:color w:val="000000"/>
          <w:sz w:val="21"/>
        </w:rPr>
        <w:t>本科阶段将国务学院“中国之治”国情育人项目、“全球之治”世情育人项目以及相关学科竞赛列入本硕融通轨道学生必修项目清单。“中国之治”国情育人项目包括：中国之治社会实践项目（重点项目+日常化项目）；“全球之治”世情育人项目包括：青年全球治理创新设计大赛（YICGG）、澜沧江-湄公河”流域治理与发展青年创新设计大赛（YICMG）、“荣昶学者”全球治理人才培养专项计划等；学科竞赛包括“中国之治”治理案例分析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在该阶段，学生可选择以下两种方式之一完成培养：</w:t>
      </w:r>
      <w:r>
        <w:br/>
      </w:r>
      <w:r>
        <w:br/>
      </w:r>
      <w:r>
        <w:rPr>
          <w:rFonts w:ascii="SimSun" w:hAnsi="SimSun"/>
          <w:b w:val="false"/>
          <w:i w:val="false"/>
          <w:color w:val="000000"/>
          <w:sz w:val="21"/>
        </w:rPr>
        <w:t>方式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w:t>
      </w:r>
      <w:r>
        <w:br/>
      </w:r>
      <w:r>
        <w:br/>
      </w:r>
      <w:r>
        <w:rPr>
          <w:rFonts w:ascii="SimSun" w:hAnsi="SimSun"/>
          <w:b w:val="false"/>
          <w:i w:val="false"/>
          <w:color w:val="000000"/>
          <w:sz w:val="21"/>
        </w:rPr>
        <w:t>方式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w:t>
      </w:r>
      <w:r>
        <w:br/>
      </w:r>
      <w:r>
        <w:br/>
      </w:r>
      <w:r>
        <w:rPr>
          <w:rFonts w:ascii="SimSun" w:hAnsi="SimSun"/>
          <w:b w:val="false"/>
          <w:i w:val="false"/>
          <w:color w:val="000000"/>
          <w:sz w:val="21"/>
        </w:rPr>
        <w:t>本科毕业时，学生如作为“队长/项目负责人”身份完成上述竞赛参赛要求，则可选择将参与竞赛所撰写研究论文或比赛报告作为本科毕业论文送审，学院出台相应配套政策，进行审核与学分认定。若结项报告、研究论文为团队成果，学生在申请认定其为本科毕业论文时，应取得指导老师以及课题团队成员书面一致同意，且每份报告或论文只适用一次本科毕业论文答辩申请。学生如作为“项目团队成员排位前两名（除负责人外）”时，则须独立撰写一篇毕业论文送审。</w:t>
      </w:r>
    </w:p>
    <w:p>
      <w:pPr>
        <w:spacing w:after="0"/>
        <w:ind w:left="0"/>
        <w:jc w:val="left"/>
      </w:pPr>
      <w:r>
        <w:rPr>
          <w:rFonts w:ascii="SimSun" w:hAnsi="SimSun"/>
          <w:b w:val="false"/>
          <w:i w:val="false"/>
          <w:color w:val="000000"/>
          <w:sz w:val="21"/>
        </w:rPr>
        <w:t xml:space="preserve"> 2.硕士研究生阶段要求</w:t>
      </w:r>
      <w:r>
        <w:br/>
      </w:r>
      <w:r>
        <w:br/>
      </w:r>
      <w:r>
        <w:rPr>
          <w:rFonts w:ascii="SimSun" w:hAnsi="SimSun"/>
          <w:b w:val="false"/>
          <w:i w:val="false"/>
          <w:color w:val="000000"/>
          <w:sz w:val="21"/>
        </w:rPr>
        <w:t>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（105学分,本科要求105学分）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（41学分,本科要求41学分）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（64学分,本科要求35学分）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要求在下列必修课中，至少选择修读70学分。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包括本硕实务实践衔接课程包、硕士实务实践高阶课程模块、人工智能专业进阶课程，按路径要求修读课程。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（33学分,本科要求33学分）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本博学术创新衔接课程包</w:t>
      </w:r>
      <w:r>
        <w:rPr>
          <w:rFonts w:ascii="SimSun" w:hAnsi="SimSun"/>
          <w:b/>
          <w:i w:val="false"/>
          <w:color w:val="000000"/>
          <w:sz w:val="21"/>
        </w:rPr>
        <w:t>（25学分,本科要求25学分）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AI赋能的政务服务再造</w:t>
            </w:r>
            <w:r>
              <w:br/>
            </w:r>
            <w:r>
              <w:br/>
            </w:r>
            <w:r>
              <w:rPr>
                <w:rFonts w:ascii="SimSun" w:hAnsi="SimSun"/>
                <w:b w:val="false"/>
                <w:i w:val="false"/>
                <w:color w:val="000000"/>
                <w:sz w:val="21"/>
              </w:rPr>
              <w:t>AI-empowered Reengineering of Government Services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城乡治理理论与实践</w:t>
            </w:r>
            <w:r>
              <w:br/>
            </w:r>
            <w:r>
              <w:br/>
            </w:r>
            <w:r>
              <w:rPr>
                <w:rFonts w:ascii="SimSun" w:hAnsi="SimSun"/>
                <w:b w:val="false"/>
                <w:i w:val="false"/>
                <w:color w:val="000000"/>
                <w:sz w:val="21"/>
              </w:rPr>
              <w:t>Theories and Practice of Rural-urban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地理信息系统与空间分析</w:t>
            </w:r>
            <w:r>
              <w:br/>
            </w:r>
            <w:r>
              <w:br/>
            </w:r>
            <w:r>
              <w:rPr>
                <w:rFonts w:ascii="SimSun" w:hAnsi="SimSun"/>
                <w:b w:val="false"/>
                <w:i w:val="false"/>
                <w:color w:val="000000"/>
                <w:sz w:val="21"/>
              </w:rPr>
              <w:t>Geographic Information System and Spatial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政府监管理论与实践</w:t>
            </w:r>
            <w:r>
              <w:br/>
            </w:r>
            <w:r>
              <w:br/>
            </w:r>
            <w:r>
              <w:rPr>
                <w:rFonts w:ascii="SimSun" w:hAnsi="SimSun"/>
                <w:b w:val="false"/>
                <w:i w:val="false"/>
                <w:color w:val="000000"/>
                <w:sz w:val="21"/>
              </w:rPr>
              <w:t>Theory and Practice of Government Regulation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人工智能专业进阶</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II.硕士实务实践高阶课程模块（10学分）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公共行政的艺术与实践</w:t>
            </w:r>
            <w:r>
              <w:br/>
            </w:r>
            <w:r>
              <w:br/>
            </w:r>
            <w:r>
              <w:rPr>
                <w:rFonts w:ascii="SimSun" w:hAnsi="SimSun"/>
                <w:b w:val="false"/>
                <w:i w:val="false"/>
                <w:color w:val="000000"/>
                <w:sz w:val="21"/>
              </w:rPr>
              <w:t>The Art and Practice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数字时代的政府治理</w:t>
            </w:r>
            <w:r>
              <w:br/>
            </w:r>
            <w:r>
              <w:br/>
            </w:r>
            <w:r>
              <w:rPr>
                <w:rFonts w:ascii="SimSun" w:hAnsi="SimSun"/>
                <w:b w:val="false"/>
                <w:i w:val="false"/>
                <w:color w:val="000000"/>
                <w:sz w:val="21"/>
              </w:rPr>
              <w:t>Governance in the Digital Era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风险分析与评估</w:t>
            </w:r>
            <w:r>
              <w:br/>
            </w:r>
            <w:r>
              <w:br/>
            </w:r>
            <w:r>
              <w:rPr>
                <w:rFonts w:ascii="SimSun" w:hAnsi="SimSun"/>
                <w:b w:val="false"/>
                <w:i w:val="false"/>
                <w:color w:val="000000"/>
                <w:sz w:val="21"/>
              </w:rPr>
              <w:t>Risk Analysis and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国有资产管理研究</w:t>
            </w:r>
            <w:r>
              <w:br/>
            </w:r>
            <w:r>
              <w:br/>
            </w:r>
            <w:r>
              <w:rPr>
                <w:rFonts w:ascii="SimSun" w:hAnsi="SimSun"/>
                <w:b w:val="false"/>
                <w:i w:val="false"/>
                <w:color w:val="000000"/>
                <w:sz w:val="21"/>
              </w:rPr>
              <w:t>State-owned Assets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公共机构节能管理</w:t>
            </w:r>
            <w:r>
              <w:br/>
            </w:r>
            <w:r>
              <w:br/>
            </w:r>
            <w:r>
              <w:rPr>
                <w:rFonts w:ascii="SimSun" w:hAnsi="SimSun"/>
                <w:b w:val="false"/>
                <w:i w:val="false"/>
                <w:color w:val="000000"/>
                <w:sz w:val="21"/>
              </w:rPr>
              <w:t>Energy conservation management in public institutions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政府采购</w:t>
            </w:r>
            <w:r>
              <w:br/>
            </w:r>
            <w:r>
              <w:br/>
            </w:r>
            <w:r>
              <w:rPr>
                <w:rFonts w:ascii="SimSun" w:hAnsi="SimSun"/>
                <w:b w:val="false"/>
                <w:i w:val="false"/>
                <w:color w:val="000000"/>
                <w:sz w:val="21"/>
              </w:rPr>
              <w:t>Public Procurement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灾害社会学理论与实践</w:t>
            </w:r>
            <w:r>
              <w:br/>
            </w:r>
            <w:r>
              <w:br/>
            </w:r>
            <w:r>
              <w:rPr>
                <w:rFonts w:ascii="SimSun" w:hAnsi="SimSun"/>
                <w:b w:val="false"/>
                <w:i w:val="false"/>
                <w:color w:val="000000"/>
                <w:sz w:val="21"/>
              </w:rPr>
              <w:t>Disaster Sociology: Theory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风险沟通理论与实践</w:t>
            </w:r>
            <w:r>
              <w:br/>
            </w:r>
            <w:r>
              <w:br/>
            </w:r>
            <w:r>
              <w:rPr>
                <w:rFonts w:ascii="SimSun" w:hAnsi="SimSun"/>
                <w:b w:val="false"/>
                <w:i w:val="false"/>
                <w:color w:val="000000"/>
                <w:sz w:val="21"/>
              </w:rPr>
              <w:t>Risk Communication Theory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社会科学数据分析</w:t>
            </w:r>
            <w:r>
              <w:br/>
            </w:r>
            <w:r>
              <w:br/>
            </w:r>
            <w:r>
              <w:rPr>
                <w:rFonts w:ascii="SimSun" w:hAnsi="SimSun"/>
                <w:b w:val="false"/>
                <w:i w:val="false"/>
                <w:color w:val="000000"/>
                <w:sz w:val="21"/>
              </w:rPr>
              <w:t>Statistical Analysis in Social Science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全周期的科研训练体系，在1、2年级设立前沿导论课和无学分讨论班，引导学生早进课题组，培育兴趣。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实务实践训练方式之一和实务实践训练方式之二必修2选1
实务实践训练方式之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修读认定以项目立项证明材料为准，项目能否设置负责人外成员参照学校政策安排。
实务实践训练方式之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
本科毕业论文，可用复芏计划成果为论文主要内容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本硕双导师制实务实践训练体系-硕士研究生阶段要求
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参照学校要求，硕士生在校期间至少听取5次学术报告，并在院系或校级甚至全国性的学术研讨会、学术沙龙或其他公开学术讨论场合作2次学术报告。并作好记录和小结，送交指导老师考核和评分。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在第8学期完成，详见国务学院论文开题实施细则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