
<file path=[Content_Types].xml><?xml version="1.0" encoding="utf-8"?>
<Types xmlns="http://schemas.openxmlformats.org/package/2006/content-types">
  <Default Extension="jpeg" ContentType="image/jpeg"/>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4.png"/>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Types>
</file>

<file path=_rels/.rels><?xml version="1.0" encoding="UTF-8"?>
<Relationships xmlns="http://schemas.openxmlformats.org/package/2006/relationships">
   <Relationship Target="word/document.xml" Type="http://schemas.openxmlformats.org/officeDocument/2006/relationships/officeDocument" Id="rId1"/>
   <Relationship Target="docProps/core.xml" Type="http://schemas.openxmlformats.org/package/2006/relationships/metadata/core-properties" Id="rId2"/>
   <Relationship Target="docProps/app.xml" Type="http://schemas.openxmlformats.org/officeDocument/2006/relationships/extended-properties" Id="rId3"/>
</Relationships>

</file>

<file path=word/document.xml><?xml version="1.0" encoding="utf-8"?>
<w:document xmlns:ns30="http://schemas.openxmlformats.org/schemaLibrary/2006/main" xmlns:a="http://schemas.openxmlformats.org/drawingml/2006/main" xmlns:r="http://schemas.openxmlformats.org/officeDocument/2006/relationships" xmlns:mc="http://schemas.openxmlformats.org/markup-compatibility/2006" xmlns:w="http://schemas.openxmlformats.org/wordprocessingml/2006/main" xmlns:wp="http://schemas.openxmlformats.org/drawingml/2006/wordprocessingDrawing" xmlns:w15="http://schemas.microsoft.com/office/word/2012/wordml" xmlns:wp14="http://schemas.microsoft.com/office/word/2010/wordprocessingDrawing" xmlns:w14="http://schemas.microsoft.com/office/word/2010/wordml" xmlns:m="http://schemas.openxmlformats.org/officeDocument/2006/math">
  <w:body>
    <w:p>
      <w:pPr>
        <w:spacing w:after="0"/>
        <w:ind w:left="0"/>
        <w:jc w:val="center"/>
      </w:pPr>
      <w:r>
        <w:rPr>
          <w:rFonts w:ascii="SimSun" w:hAnsi="SimSun"/>
          <w:b w:val="false"/>
          <w:i w:val="false"/>
          <w:color w:val="000000"/>
          <w:sz w:val="21"/>
        </w:rPr>
        <w:t xml:space="preserve">
    </w:t>
      </w:r>
      <w:r>
        <w:drawing>
          <wp:inline distT="0" distB="0" distL="0" distR="0">
            <wp:extent cx="2395525" cy="780225"/>
            <wp:effectExtent l="0" t="0" r="0" b="0"/>
            <wp:docPr id="0" name="" descr=""/>
            <wp:cNvGraphicFramePr>
              <a:graphicFrameLocks noChangeAspect="true"/>
            </wp:cNvGraphicFramePr>
            <a:graphic>
              <a:graphicData uri="http://schemas.openxmlformats.org/drawingml/2006/picture">
                <pic:pic xmlns:pic="http://schemas.openxmlformats.org/drawingml/2006/picture">
                  <pic:nvPicPr>
                    <pic:cNvPr id="1" name=""/>
                    <pic:cNvPicPr/>
                  </pic:nvPicPr>
                  <pic:blipFill>
                    <a:blip r:embed="rId4"/>
                    <a:stretch>
                      <a:fillRect/>
                    </a:stretch>
                  </pic:blipFill>
                  <pic:spPr>
                    <a:xfrm>
                      <a:off x="0" y="0"/>
                      <a:ext cx="2395525" cy="780225"/>
                    </a:xfrm>
                    <a:prstGeom prst="rect">
                      <a:avLst/>
                    </a:prstGeom>
                  </pic:spPr>
                </pic:pic>
              </a:graphicData>
            </a:graphic>
          </wp:inline>
        </w:drawing>
      </w:r>
      <w:r>
        <w:rPr>
          <w:rFonts w:ascii="SimSun" w:hAnsi="SimSun"/>
          <w:b w:val="false"/>
          <w:i w:val="false"/>
          <w:color w:val="000000"/>
          <w:sz w:val="21"/>
        </w:rPr>
        <w:t xml:space="preserve">
   </w:t>
      </w:r>
    </w:p>
    <w:p>
      <w:pPr>
        <w:spacing w:after="0"/>
        <w:ind w:left="0"/>
        <w:jc w:val="center"/>
      </w:pPr>
      <w:r>
        <w:rPr>
          <w:rFonts w:ascii="SimSun" w:hAnsi="SimSun"/>
          <w:b w:val="false"/>
          <w:i w:val="false"/>
          <w:color w:val="000000"/>
          <w:sz w:val="21"/>
        </w:rPr>
        <w:t xml:space="preserve">
    </w:t>
      </w:r>
      <w:r>
        <w:rPr>
          <w:rFonts w:ascii="SimSun" w:hAnsi="SimSun"/>
          <w:b/>
          <w:i w:val="false"/>
          <w:color w:val="000000"/>
          <w:sz w:val="44"/>
        </w:rPr>
        <w:t>文物与博物馆学系</w:t>
      </w:r>
      <w:r>
        <w:rPr>
          <w:rFonts w:ascii="SimSun" w:hAnsi="SimSun"/>
          <w:b w:val="false"/>
          <w:i w:val="false"/>
          <w:color w:val="000000"/>
          <w:sz w:val="21"/>
        </w:rPr>
        <w:t xml:space="preserve">
   </w:t>
      </w:r>
    </w:p>
    <w:p>
      <w:pPr>
        <w:spacing w:after="0"/>
        <w:ind w:left="0"/>
        <w:jc w:val="center"/>
      </w:pPr>
      <w:r>
        <w:rPr>
          <w:rFonts w:ascii="SimSun" w:hAnsi="SimSun"/>
          <w:b w:val="false"/>
          <w:i w:val="false"/>
          <w:color w:val="000000"/>
          <w:sz w:val="21"/>
        </w:rPr>
        <w:t xml:space="preserve">
    </w:t>
      </w:r>
      <w:bookmarkStart w:id="0" w:name="print-title"/>
      <w:r>
        <w:rPr>
          <w:rFonts w:ascii="SimSun" w:hAnsi="SimSun"/>
          <w:b/>
          <w:i w:val="false"/>
          <w:color w:val="000000"/>
          <w:sz w:val="44"/>
        </w:rPr>
        <w:t>2025 文物与博物馆学（科技考古）-考古学本博融通培养方案（科技考古博雅班）</w:t>
      </w:r>
      <w:bookmarkEnd w:id="0"/>
      <w:r>
        <w:rPr>
          <w:rFonts w:ascii="SimSun" w:hAnsi="SimSun"/>
          <w:b w:val="false"/>
          <w:i w:val="false"/>
          <w:color w:val="000000"/>
          <w:sz w:val="21"/>
        </w:rPr>
        <w:t xml:space="preserve"> 
   </w:t>
      </w:r>
    </w:p>
    <w:p>
      <w:pPr>
        <w:spacing w:after="0"/>
        <w:ind w:left="0"/>
        <w:jc w:val="left"/>
      </w:pPr>
      <w:r>
        <w:rPr>
          <w:rFonts w:ascii="SimSun" w:hAnsi="SimSun"/>
          <w:b/>
          <w:i w:val="false"/>
          <w:color w:val="000000"/>
          <w:sz w:val="24"/>
        </w:rPr>
        <w:t xml:space="preserve">
       一.    学科专业简介
      </w:t>
      </w:r>
    </w:p>
    <w:p>
      <w:pPr>
        <w:spacing w:after="0"/>
        <w:ind w:left="0"/>
        <w:jc w:val="left"/>
      </w:pPr>
      <w:r>
        <w:rPr>
          <w:rFonts w:ascii="SimSun" w:hAnsi="SimSun"/>
          <w:b w:val="false"/>
          <w:i w:val="false"/>
          <w:color w:val="000000"/>
          <w:sz w:val="21"/>
        </w:rPr>
        <w:t>复旦大学文物与博物馆学系是国内创办时间最长、影响最大的文博教学与科研机构之一，是全国文物、博物馆专业学位研究生教育指导委员会秘书处单位，拥有40多年的学科发展史，并下设博物馆学、考古学、文化遗产（包括文物学、文物保护）三大方向。文物与博物馆学专业是国家级一流本科专业建设点，近年来，已形成了“考古发掘研究”“文化遗产保护管理”“博物馆阐释传播利用”的“三位一体”式发展格局。文物与博物馆学系拥有10个教学与科研平台、1个国际级教席、1项国家级考古发掘资质，旗下的复旦大学科技考古研究院拥有近10个实验室，是学校双一流建设规划重点项目。</w:t>
      </w:r>
    </w:p>
    <w:p>
      <w:pPr>
        <w:spacing w:after="0"/>
        <w:ind w:left="0"/>
        <w:jc w:val="left"/>
      </w:pPr>
      <w:r>
        <w:rPr>
          <w:rFonts w:ascii="SimSun" w:hAnsi="SimSun"/>
          <w:b/>
          <w:i w:val="false"/>
          <w:color w:val="000000"/>
          <w:sz w:val="24"/>
        </w:rPr>
        <w:t xml:space="preserve">
       二.    培养目标
      </w:t>
      </w:r>
    </w:p>
    <w:p>
      <w:pPr>
        <w:spacing w:after="0"/>
        <w:ind w:left="0"/>
        <w:jc w:val="left"/>
      </w:pPr>
      <w:r>
        <w:rPr>
          <w:rFonts w:ascii="SimSun" w:hAnsi="SimSun"/>
          <w:b w:val="false"/>
          <w:i w:val="false"/>
          <w:color w:val="000000"/>
          <w:sz w:val="21"/>
        </w:rPr>
        <w:t>按照“宽口径、厚基础、重能力、求创新”的人才培养要求，以“2+X+Y”（2是通识和专业教育，X是多元发展路径，Y为融合创新能力）为途径，培养适应社会主义现代化建设和科技发展，德智体美劳全面发展，既掌握考古学理论方法、断代考古常识、田野考古操作技能，又具备数学、物理、化学、生物以及AI、编程等理工科基础知识并能将其熟练应用于科技考古研究诸领域的新型考古学文理交叉人才。学生应具有良好的思想道德素质和科学的世界观，具有人文情怀，具备突出的科学素养与创新思维、开阔的国际视野和跨文化环境下的交流与合作能力，能够服务国家重大战略需求。博士毕业时，具有独立从事科学研究的能力和严谨求实的科学态度和作风，在一个或几个国际前沿方向中有较深入的研究，并取得创造性的成果，成为能适应国家文博事业发展、专业领域需求的高级专门人才。</w:t>
      </w:r>
    </w:p>
    <w:p>
      <w:pPr>
        <w:spacing w:after="0"/>
        <w:ind w:left="0"/>
        <w:jc w:val="left"/>
      </w:pPr>
      <w:r>
        <w:rPr>
          <w:rFonts w:ascii="SimSun" w:hAnsi="SimSun"/>
          <w:b/>
          <w:i w:val="false"/>
          <w:color w:val="000000"/>
          <w:sz w:val="24"/>
        </w:rPr>
        <w:t xml:space="preserve">
       三.    基本要求
      </w:t>
      </w:r>
    </w:p>
    <w:p>
      <w:pPr>
        <w:spacing w:after="0"/>
        <w:ind w:left="0"/>
        <w:jc w:val="left"/>
      </w:pPr>
      <w:r>
        <w:drawing>
          <wp:inline distT="0" distB="0" distL="0" distR="0">
            <wp:extent cx="3200400" cy="1270000"/>
            <wp:effectExtent l="0" t="0" r="0" b="0"/>
            <wp:docPr id="0" name="" descr=""/>
            <wp:cNvGraphicFramePr>
              <a:graphicFrameLocks noChangeAspect="true"/>
            </wp:cNvGraphicFramePr>
            <a:graphic>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3200400" cy="1270000"/>
                    </a:xfrm>
                    <a:prstGeom prst="rect">
                      <a:avLst/>
                    </a:prstGeom>
                  </pic:spPr>
                </pic:pic>
              </a:graphicData>
            </a:graphic>
          </wp:inline>
        </w:drawing>
      </w:r>
    </w:p>
    <w:p>
      <w:pPr>
        <w:spacing w:after="0"/>
        <w:ind w:left="0"/>
        <w:jc w:val="left"/>
      </w:pPr>
      <w:r>
        <w:rPr>
          <w:rFonts w:ascii="SimSun" w:hAnsi="SimSun"/>
          <w:b/>
          <w:i w:val="false"/>
          <w:color w:val="000000"/>
          <w:sz w:val="24"/>
        </w:rPr>
        <w:t xml:space="preserve">
       四.    修业要求
      </w:t>
      </w:r>
    </w:p>
    <w:p>
      <w:pPr>
        <w:spacing w:after="0"/>
        <w:ind w:left="0"/>
        <w:jc w:val="left"/>
      </w:pPr>
      <w:r>
        <w:rPr>
          <w:rFonts w:ascii="SimSun" w:hAnsi="SimSun"/>
          <w:b w:val="false"/>
          <w:i w:val="false"/>
          <w:color w:val="000000"/>
          <w:sz w:val="21"/>
        </w:rPr>
        <w:t>（具体执行需按照学校管理规定和文物与博物馆学系教学指导委员会说明。）</w:t>
      </w:r>
    </w:p>
    <w:p>
      <w:pPr>
        <w:spacing w:after="0"/>
        <w:ind w:left="0"/>
        <w:jc w:val="left"/>
      </w:pPr>
    </w:p>
    <w:p>
      <w:pPr>
        <w:spacing w:after="0"/>
        <w:ind w:left="0"/>
        <w:jc w:val="left"/>
      </w:pPr>
      <w:r>
        <w:rPr>
          <w:rFonts w:ascii="SimSun" w:hAnsi="SimSun"/>
          <w:b w:val="false"/>
          <w:i w:val="false"/>
          <w:color w:val="000000"/>
          <w:sz w:val="21"/>
        </w:rPr>
        <w:t>
                  1.修业年限：</w:t>
      </w:r>
      <w:r>
        <w:rPr>
          <w:rFonts w:ascii="SimSun" w:hAnsi="SimSun"/>
          <w:b w:val="false"/>
          <w:i w:val="false"/>
          <w:color w:val="000000"/>
          <w:sz w:val="21"/>
        </w:rPr>
        <w:t>8</w:t>
      </w:r>
      <w:r>
        <w:rPr>
          <w:rFonts w:ascii="SimSun" w:hAnsi="SimSun"/>
          <w:b w:val="false"/>
          <w:i w:val="false"/>
          <w:color w:val="000000"/>
          <w:sz w:val="21"/>
        </w:rPr>
        <w:t xml:space="preserve">年
      </w:t>
      </w:r>
    </w:p>
    <w:p>
      <w:pPr>
        <w:spacing w:after="0"/>
        <w:ind w:left="0"/>
        <w:jc w:val="left"/>
      </w:pPr>
      <w:r>
        <w:rPr>
          <w:rFonts w:ascii="SimSun" w:hAnsi="SimSun"/>
          <w:b w:val="false"/>
          <w:i w:val="false"/>
          <w:color w:val="000000"/>
          <w:sz w:val="21"/>
        </w:rPr>
        <w:t xml:space="preserve">
                  2.学业升段考核要求：
      </w:t>
      </w:r>
    </w:p>
    <w:tbl>
      <w:tblPr>
        <w:tblW w:w="0" w:type="auto"/>
        <w:tblCellSpacing w:w="0" w:type="auto"/>
        <w:tblBorders>
          <w:top w:val="none"/>
          <w:left w:val="none"/>
          <w:bottom w:val="none"/>
          <w:right w:val="none"/>
          <w:insideH w:val="none"/>
          <w:insideV w:val="none"/>
        </w:tblBorders>
      </w:tblPr>
      <w:tblGrid>
        <w:gridCol w:w="3818"/>
        <w:gridCol w:w="3409"/>
        <w:gridCol w:w="2999"/>
        <w:gridCol w:w="3408"/>
      </w:tblGrid>
      <w:tr>
        <w:trPr>
          <w:trHeight w:val="45" w:hRule="atLeast"/>
        </w:trPr>
        <w:tc>
          <w:tcPr>
            <w:tcW w:w="381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学段</w:t>
            </w:r>
          </w:p>
        </w:tc>
        <w:tc>
          <w:tcPr>
            <w:tcW w:w="340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考核时间</w:t>
            </w:r>
          </w:p>
        </w:tc>
        <w:tc>
          <w:tcPr>
            <w:tcW w:w="299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考核方式</w:t>
            </w:r>
          </w:p>
        </w:tc>
        <w:tc>
          <w:tcPr>
            <w:tcW w:w="3408"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考核内容</w:t>
            </w:r>
          </w:p>
        </w:tc>
      </w:tr>
      <w:tr>
        <w:trPr>
          <w:trHeight w:val="45" w:hRule="atLeast"/>
        </w:trPr>
        <w:tc>
          <w:tcPr>
            <w:tcW w:w="3818"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
                      本科生学段
                    </w:t>
            </w:r>
          </w:p>
        </w:tc>
        <w:tc>
          <w:tcPr>
            <w:tcW w:w="3409"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3年级结束</w:t>
            </w:r>
          </w:p>
        </w:tc>
        <w:tc>
          <w:tcPr>
            <w:tcW w:w="29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面试成绩</w:t>
            </w:r>
            <w:r>
              <w:rPr>
                <w:rFonts w:ascii="SimSun" w:hAnsi="SimSun"/>
                <w:b w:val="false"/>
                <w:i w:val="false"/>
                <w:color w:val="000000"/>
                <w:sz w:val="21"/>
              </w:rPr>
              <w:t xml:space="preserve"> </w:t>
            </w:r>
            <w:r>
              <w:rPr>
                <w:rFonts w:ascii="SimSun" w:hAnsi="SimSun"/>
                <w:b w:val="false"/>
                <w:i w:val="false"/>
                <w:color w:val="000000"/>
                <w:sz w:val="21"/>
              </w:rPr>
              <w:t>25</w:t>
            </w:r>
            <w:r>
              <w:rPr>
                <w:rFonts w:ascii="SimSun" w:hAnsi="SimSun"/>
                <w:b w:val="false"/>
                <w:i w:val="false"/>
                <w:color w:val="000000"/>
                <w:sz w:val="21"/>
              </w:rPr>
              <w:t xml:space="preserve"> </w:t>
            </w:r>
            <w:r>
              <w:rPr>
                <w:rFonts w:ascii="SimSun" w:hAnsi="SimSun"/>
                <w:b w:val="false"/>
                <w:i w:val="false"/>
                <w:color w:val="000000"/>
                <w:sz w:val="21"/>
              </w:rPr>
              <w:t>%</w:t>
            </w:r>
          </w:p>
        </w:tc>
        <w:tc>
          <w:tcPr>
            <w:tcW w:w="3408" w:type="dxa"/>
            <w:vMerge w:val="restart"/>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学业成绩：已修读课程的加权平均值；
面试内容：专业学习情况、综合评价（竞赛、比赛、科研实践情况等内容）；                                                       其他：笔试：考古学综合</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2999"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学业成绩</w:t>
            </w:r>
            <w:r>
              <w:rPr>
                <w:rFonts w:ascii="SimSun" w:hAnsi="SimSun"/>
                <w:b w:val="false"/>
                <w:i w:val="false"/>
                <w:color w:val="000000"/>
                <w:sz w:val="21"/>
              </w:rPr>
              <w:t xml:space="preserve"> </w:t>
            </w:r>
            <w:r>
              <w:rPr>
                <w:rFonts w:ascii="SimSun" w:hAnsi="SimSun"/>
                <w:b w:val="false"/>
                <w:i w:val="false"/>
                <w:color w:val="000000"/>
                <w:sz w:val="21"/>
              </w:rPr>
              <w:t>50</w:t>
            </w:r>
            <w:r>
              <w:rPr>
                <w:rFonts w:ascii="SimSun" w:hAnsi="SimSun"/>
                <w:b w:val="false"/>
                <w:i w:val="false"/>
                <w:color w:val="000000"/>
                <w:sz w:val="21"/>
              </w:rPr>
              <w:t xml:space="preserve"> </w:t>
            </w:r>
            <w:r>
              <w:rPr>
                <w:rFonts w:ascii="SimSun" w:hAnsi="SimSun"/>
                <w:b w:val="false"/>
                <w:i w:val="false"/>
                <w:color w:val="000000"/>
                <w:sz w:val="21"/>
              </w:rPr>
              <w:t>%</w:t>
            </w:r>
          </w:p>
        </w:tc>
        <w:tc>
          <w:tcPr>
            <w:tcW w:w="0" w:type="auto"/>
            <w:vMerge/>
            <w:tcBorders>
              <w:top w:val="nil"/>
              <w:left w:val="single" w:color="000000" w:sz="8"/>
              <w:right w:val="single" w:color="000000" w:sz="8"/>
            </w:tcBorders>
          </w:tcP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2999"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其他</w:t>
            </w:r>
            <w:r>
              <w:rPr>
                <w:rFonts w:ascii="SimSun" w:hAnsi="SimSun"/>
                <w:b w:val="false"/>
                <w:i w:val="false"/>
                <w:color w:val="000000"/>
                <w:sz w:val="21"/>
              </w:rPr>
              <w:t xml:space="preserve"> </w:t>
            </w:r>
            <w:r>
              <w:rPr>
                <w:rFonts w:ascii="SimSun" w:hAnsi="SimSun"/>
                <w:b w:val="false"/>
                <w:i w:val="false"/>
                <w:color w:val="000000"/>
                <w:sz w:val="21"/>
              </w:rPr>
              <w:t>25</w:t>
            </w:r>
            <w:r>
              <w:rPr>
                <w:rFonts w:ascii="SimSun" w:hAnsi="SimSun"/>
                <w:b w:val="false"/>
                <w:i w:val="false"/>
                <w:color w:val="000000"/>
                <w:sz w:val="21"/>
              </w:rPr>
              <w:t xml:space="preserve"> </w:t>
            </w:r>
            <w:r>
              <w:rPr>
                <w:rFonts w:ascii="SimSun" w:hAnsi="SimSun"/>
                <w:b w:val="false"/>
                <w:i w:val="false"/>
                <w:color w:val="000000"/>
                <w:sz w:val="21"/>
              </w:rPr>
              <w:t>%</w:t>
            </w:r>
          </w:p>
        </w:tc>
        <w:tc>
          <w:tcPr>
            <w:tcW w:w="0" w:type="auto"/>
            <w:vMerge/>
            <w:tcBorders>
              <w:top w:val="nil"/>
              <w:left w:val="single" w:color="000000" w:sz="8"/>
              <w:right w:val="single" w:color="000000" w:sz="8"/>
            </w:tcBorders>
          </w:tcPr>
          <w:p/>
        </w:tc>
      </w:tr>
      <w:tr>
        <w:trPr>
          <w:trHeight w:val="45" w:hRule="atLeast"/>
        </w:trPr>
        <w:tc>
          <w:tcPr>
            <w:tcW w:w="3818"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
                      研究生学段（博士生资格考核）
                    </w:t>
            </w:r>
          </w:p>
        </w:tc>
        <w:tc>
          <w:tcPr>
            <w:tcW w:w="3409"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5年级结束</w:t>
            </w:r>
          </w:p>
        </w:tc>
        <w:tc>
          <w:tcPr>
            <w:tcW w:w="29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面试成绩</w:t>
            </w:r>
            <w:r>
              <w:rPr>
                <w:rFonts w:ascii="SimSun" w:hAnsi="SimSun"/>
                <w:b w:val="false"/>
                <w:i w:val="false"/>
                <w:color w:val="000000"/>
                <w:sz w:val="21"/>
              </w:rPr>
              <w:t xml:space="preserve"> </w:t>
            </w:r>
            <w:r>
              <w:rPr>
                <w:rFonts w:ascii="SimSun" w:hAnsi="SimSun"/>
                <w:b w:val="false"/>
                <w:i w:val="false"/>
                <w:color w:val="000000"/>
                <w:sz w:val="21"/>
              </w:rPr>
              <w:t xml:space="preserve"> </w:t>
            </w:r>
            <w:r>
              <w:rPr>
                <w:rFonts w:ascii="SimSun" w:hAnsi="SimSun"/>
                <w:b w:val="false"/>
                <w:i w:val="false"/>
                <w:color w:val="000000"/>
                <w:sz w:val="21"/>
              </w:rPr>
              <w:t>%</w:t>
            </w:r>
          </w:p>
        </w:tc>
        <w:tc>
          <w:tcPr>
            <w:tcW w:w="3408" w:type="dxa"/>
            <w:vMerge w:val="restart"/>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通过笔试进行考核。科目：参考博士生资格考试要求。 第一次博资考在5年级末，第一次不通过者，第二次在6年级末进行，两次不通过者分流至学术硕士培养。</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2999"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学业成绩</w:t>
            </w:r>
            <w:r>
              <w:rPr>
                <w:rFonts w:ascii="SimSun" w:hAnsi="SimSun"/>
                <w:b w:val="false"/>
                <w:i w:val="false"/>
                <w:color w:val="000000"/>
                <w:sz w:val="21"/>
              </w:rPr>
              <w:t xml:space="preserve"> </w:t>
            </w:r>
            <w:r>
              <w:rPr>
                <w:rFonts w:ascii="SimSun" w:hAnsi="SimSun"/>
                <w:b w:val="false"/>
                <w:i w:val="false"/>
                <w:color w:val="000000"/>
                <w:sz w:val="21"/>
              </w:rPr>
              <w:t xml:space="preserve"> </w:t>
            </w:r>
            <w:r>
              <w:rPr>
                <w:rFonts w:ascii="SimSun" w:hAnsi="SimSun"/>
                <w:b w:val="false"/>
                <w:i w:val="false"/>
                <w:color w:val="000000"/>
                <w:sz w:val="21"/>
              </w:rPr>
              <w:t>%</w:t>
            </w:r>
          </w:p>
        </w:tc>
        <w:tc>
          <w:tcPr>
            <w:tcW w:w="0" w:type="auto"/>
            <w:vMerge/>
            <w:tcBorders>
              <w:top w:val="nil"/>
              <w:left w:val="single" w:color="000000" w:sz="8"/>
              <w:right w:val="single" w:color="000000" w:sz="8"/>
            </w:tcBorders>
          </w:tcP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2999"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其他</w:t>
            </w:r>
            <w:r>
              <w:rPr>
                <w:rFonts w:ascii="SimSun" w:hAnsi="SimSun"/>
                <w:b w:val="false"/>
                <w:i w:val="false"/>
                <w:color w:val="000000"/>
                <w:sz w:val="21"/>
              </w:rPr>
              <w:t xml:space="preserve"> </w:t>
            </w:r>
            <w:r>
              <w:rPr>
                <w:rFonts w:ascii="SimSun" w:hAnsi="SimSun"/>
                <w:b w:val="false"/>
                <w:i w:val="false"/>
                <w:color w:val="000000"/>
                <w:sz w:val="21"/>
              </w:rPr>
              <w:t>100</w:t>
            </w:r>
            <w:r>
              <w:rPr>
                <w:rFonts w:ascii="SimSun" w:hAnsi="SimSun"/>
                <w:b w:val="false"/>
                <w:i w:val="false"/>
                <w:color w:val="000000"/>
                <w:sz w:val="21"/>
              </w:rPr>
              <w:t xml:space="preserve"> </w:t>
            </w:r>
            <w:r>
              <w:rPr>
                <w:rFonts w:ascii="SimSun" w:hAnsi="SimSun"/>
                <w:b w:val="false"/>
                <w:i w:val="false"/>
                <w:color w:val="000000"/>
                <w:sz w:val="21"/>
              </w:rPr>
              <w:t>%</w:t>
            </w:r>
          </w:p>
        </w:tc>
        <w:tc>
          <w:tcPr>
            <w:tcW w:w="0" w:type="auto"/>
            <w:vMerge/>
            <w:tcBorders>
              <w:top w:val="nil"/>
              <w:left w:val="single" w:color="000000" w:sz="8"/>
              <w:right w:val="single" w:color="000000" w:sz="8"/>
            </w:tcBorders>
          </w:tcPr>
          <w:p/>
        </w:tc>
      </w:tr>
    </w:tbl>
    <w:p>
      <w:pPr>
        <w:spacing w:after="0"/>
        <w:ind w:left="0"/>
        <w:jc w:val="left"/>
      </w:pPr>
      <w:r>
        <w:rPr>
          <w:rFonts w:ascii="SimSun" w:hAnsi="SimSun"/>
          <w:b w:val="false"/>
          <w:i w:val="false"/>
          <w:color w:val="000000"/>
          <w:sz w:val="21"/>
        </w:rPr>
        <w:t xml:space="preserve">
                  3.学业退出说明：
      </w:t>
      </w:r>
    </w:p>
    <w:tbl>
      <w:tblPr>
        <w:tblW w:w="0" w:type="auto"/>
        <w:tblCellSpacing w:w="0" w:type="auto"/>
        <w:tblBorders>
          <w:top w:val="none"/>
          <w:left w:val="none"/>
          <w:bottom w:val="none"/>
          <w:right w:val="none"/>
          <w:insideH w:val="none"/>
          <w:insideV w:val="none"/>
        </w:tblBorders>
      </w:tblPr>
      <w:tblGrid>
        <w:gridCol w:w="3818"/>
        <w:gridCol w:w="3409"/>
        <w:gridCol w:w="6407"/>
      </w:tblGrid>
      <w:tr>
        <w:trPr>
          <w:trHeight w:val="45" w:hRule="atLeast"/>
        </w:trPr>
        <w:tc>
          <w:tcPr>
            <w:tcW w:w="381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学段</w:t>
            </w:r>
          </w:p>
        </w:tc>
        <w:tc>
          <w:tcPr>
            <w:tcW w:w="340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退出形式</w:t>
            </w:r>
          </w:p>
        </w:tc>
        <w:tc>
          <w:tcPr>
            <w:tcW w:w="6407"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退出后修读专业</w:t>
            </w:r>
          </w:p>
        </w:tc>
      </w:tr>
      <w:tr>
        <w:trPr>
          <w:trHeight w:val="45" w:hRule="atLeast"/>
        </w:trPr>
        <w:tc>
          <w:tcPr>
            <w:tcW w:w="3818"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
                      本科生学段
                    </w:t>
            </w:r>
          </w:p>
        </w:tc>
        <w:tc>
          <w:tcPr>
            <w:tcW w:w="34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 xml:space="preserve">主动退出   </w:t>
            </w:r>
          </w:p>
        </w:tc>
        <w:tc>
          <w:tcPr>
            <w:tcW w:w="6407" w:type="dxa"/>
            <w:vMerge w:val="restart"/>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完成4年本科阶段培养方案，获得学士学位</w:t>
            </w:r>
          </w:p>
        </w:tc>
      </w:tr>
      <w:tr>
        <w:trPr>
          <w:trHeight w:val="45" w:hRule="atLeast"/>
        </w:trPr>
        <w:tc>
          <w:tcPr>
            <w:tcW w:w="0" w:type="auto"/>
            <w:vMerge/>
            <w:tcBorders>
              <w:top w:val="nil"/>
              <w:left w:val="single" w:color="000000" w:sz="8"/>
            </w:tcBorders>
          </w:tcPr>
          <w:p/>
        </w:tc>
        <w:tc>
          <w:tcPr>
            <w:tcW w:w="3409"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 xml:space="preserve">考核不通过退出   </w:t>
            </w:r>
          </w:p>
        </w:tc>
        <w:tc>
          <w:tcPr>
            <w:tcW w:w="0" w:type="auto"/>
            <w:vMerge/>
            <w:tcBorders>
              <w:top w:val="nil"/>
              <w:left w:val="single" w:color="000000" w:sz="8"/>
              <w:right w:val="single" w:color="000000" w:sz="8"/>
            </w:tcBorders>
          </w:tcPr>
          <w:p/>
        </w:tc>
      </w:tr>
      <w:tr>
        <w:trPr>
          <w:trHeight w:val="45" w:hRule="atLeast"/>
        </w:trPr>
        <w:tc>
          <w:tcPr>
            <w:tcW w:w="3818"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
                      研究生学段（博士生资格考核）
                    </w:t>
            </w:r>
          </w:p>
        </w:tc>
        <w:tc>
          <w:tcPr>
            <w:tcW w:w="34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 xml:space="preserve">主动退出   </w:t>
            </w:r>
          </w:p>
        </w:tc>
        <w:tc>
          <w:tcPr>
            <w:tcW w:w="6407" w:type="dxa"/>
            <w:vMerge w:val="restart"/>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学术硕士培养方案（本博通道主动退出或考核不通过者在原有基础上增加两年的学硕学习阶段）</w:t>
            </w:r>
          </w:p>
        </w:tc>
      </w:tr>
      <w:tr>
        <w:trPr>
          <w:trHeight w:val="45" w:hRule="atLeast"/>
        </w:trPr>
        <w:tc>
          <w:tcPr>
            <w:tcW w:w="0" w:type="auto"/>
            <w:vMerge/>
            <w:tcBorders>
              <w:top w:val="nil"/>
              <w:left w:val="single" w:color="000000" w:sz="8"/>
            </w:tcBorders>
          </w:tcPr>
          <w:p/>
        </w:tc>
        <w:tc>
          <w:tcPr>
            <w:tcW w:w="3409"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 xml:space="preserve">考核不通过退出   </w:t>
            </w:r>
          </w:p>
        </w:tc>
        <w:tc>
          <w:tcPr>
            <w:tcW w:w="0" w:type="auto"/>
            <w:vMerge/>
            <w:tcBorders>
              <w:top w:val="nil"/>
              <w:left w:val="single" w:color="000000" w:sz="8"/>
              <w:right w:val="single" w:color="000000" w:sz="8"/>
            </w:tcBorders>
          </w:tcPr>
          <w:p/>
        </w:tc>
      </w:tr>
    </w:tbl>
    <w:p>
      <w:pPr>
        <w:spacing w:after="0"/>
        <w:ind w:left="0"/>
        <w:jc w:val="left"/>
      </w:pPr>
      <w:r>
        <w:rPr>
          <w:rFonts w:ascii="SimSun" w:hAnsi="SimSun"/>
          <w:b w:val="false"/>
          <w:i w:val="false"/>
          <w:color w:val="000000"/>
          <w:sz w:val="21"/>
        </w:rPr>
        <w:t xml:space="preserve">
                  4.学业补入说明：
      </w:t>
      </w:r>
    </w:p>
    <w:tbl>
      <w:tblPr>
        <w:tblW w:w="0" w:type="auto"/>
        <w:tblCellSpacing w:w="0" w:type="auto"/>
        <w:tblBorders>
          <w:top w:val="none"/>
          <w:left w:val="none"/>
          <w:bottom w:val="none"/>
          <w:right w:val="none"/>
          <w:insideH w:val="none"/>
          <w:insideV w:val="none"/>
        </w:tblBorders>
      </w:tblPr>
      <w:tblGrid>
        <w:gridCol w:w="3818"/>
        <w:gridCol w:w="3409"/>
        <w:gridCol w:w="2999"/>
        <w:gridCol w:w="3408"/>
      </w:tblGrid>
      <w:tr>
        <w:trPr>
          <w:trHeight w:val="45" w:hRule="atLeast"/>
        </w:trPr>
        <w:tc>
          <w:tcPr>
            <w:tcW w:w="381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是否补入</w:t>
            </w:r>
          </w:p>
        </w:tc>
        <w:tc>
          <w:tcPr>
            <w:tcW w:w="340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补入时间</w:t>
            </w:r>
          </w:p>
        </w:tc>
        <w:tc>
          <w:tcPr>
            <w:tcW w:w="299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考核方式</w:t>
            </w:r>
          </w:p>
        </w:tc>
        <w:tc>
          <w:tcPr>
            <w:tcW w:w="3408"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考核内容</w:t>
            </w:r>
          </w:p>
        </w:tc>
      </w:tr>
      <w:tr>
        <w:trPr>
          <w:trHeight w:val="45" w:hRule="atLeast"/>
        </w:trPr>
        <w:tc>
          <w:tcPr>
            <w:tcW w:w="3818"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是   （总额不变，动态进出）</w:t>
            </w:r>
          </w:p>
        </w:tc>
        <w:tc>
          <w:tcPr>
            <w:tcW w:w="3409"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1、2、3年级结束</w:t>
            </w:r>
          </w:p>
        </w:tc>
        <w:tc>
          <w:tcPr>
            <w:tcW w:w="29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面试成绩</w:t>
            </w:r>
            <w:r>
              <w:rPr>
                <w:rFonts w:ascii="SimSun" w:hAnsi="SimSun"/>
                <w:b w:val="false"/>
                <w:i w:val="false"/>
                <w:color w:val="000000"/>
                <w:sz w:val="21"/>
              </w:rPr>
              <w:t xml:space="preserve"> </w:t>
            </w:r>
            <w:r>
              <w:rPr>
                <w:rFonts w:ascii="SimSun" w:hAnsi="SimSun"/>
                <w:b w:val="false"/>
                <w:i w:val="false"/>
                <w:color w:val="000000"/>
                <w:sz w:val="21"/>
              </w:rPr>
              <w:t>50</w:t>
            </w:r>
            <w:r>
              <w:rPr>
                <w:rFonts w:ascii="SimSun" w:hAnsi="SimSun"/>
                <w:b w:val="false"/>
                <w:i w:val="false"/>
                <w:color w:val="000000"/>
                <w:sz w:val="21"/>
              </w:rPr>
              <w:t xml:space="preserve"> </w:t>
            </w:r>
            <w:r>
              <w:rPr>
                <w:rFonts w:ascii="SimSun" w:hAnsi="SimSun"/>
                <w:b w:val="false"/>
                <w:i w:val="false"/>
                <w:color w:val="000000"/>
                <w:sz w:val="21"/>
              </w:rPr>
              <w:t>%</w:t>
            </w:r>
          </w:p>
        </w:tc>
        <w:tc>
          <w:tcPr>
            <w:tcW w:w="3408" w:type="dxa"/>
            <w:vMerge w:val="restart"/>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学业成绩为已修读课程的加权平均值；
面试内容：专业学习情况、综合评价（竞赛、比赛、科研实践情况等内容）</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2999"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学业成绩</w:t>
            </w:r>
            <w:r>
              <w:rPr>
                <w:rFonts w:ascii="SimSun" w:hAnsi="SimSun"/>
                <w:b w:val="false"/>
                <w:i w:val="false"/>
                <w:color w:val="000000"/>
                <w:sz w:val="21"/>
              </w:rPr>
              <w:t xml:space="preserve"> </w:t>
            </w:r>
            <w:r>
              <w:rPr>
                <w:rFonts w:ascii="SimSun" w:hAnsi="SimSun"/>
                <w:b w:val="false"/>
                <w:i w:val="false"/>
                <w:color w:val="000000"/>
                <w:sz w:val="21"/>
              </w:rPr>
              <w:t>50</w:t>
            </w:r>
            <w:r>
              <w:rPr>
                <w:rFonts w:ascii="SimSun" w:hAnsi="SimSun"/>
                <w:b w:val="false"/>
                <w:i w:val="false"/>
                <w:color w:val="000000"/>
                <w:sz w:val="21"/>
              </w:rPr>
              <w:t xml:space="preserve"> </w:t>
            </w:r>
            <w:r>
              <w:rPr>
                <w:rFonts w:ascii="SimSun" w:hAnsi="SimSun"/>
                <w:b w:val="false"/>
                <w:i w:val="false"/>
                <w:color w:val="000000"/>
                <w:sz w:val="21"/>
              </w:rPr>
              <w:t>%</w:t>
            </w:r>
          </w:p>
        </w:tc>
        <w:tc>
          <w:tcPr>
            <w:tcW w:w="0" w:type="auto"/>
            <w:vMerge/>
            <w:tcBorders>
              <w:top w:val="nil"/>
              <w:left w:val="single" w:color="000000" w:sz="8"/>
              <w:right w:val="single" w:color="000000" w:sz="8"/>
            </w:tcBorders>
          </w:tcP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2999"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其他</w:t>
            </w:r>
            <w:r>
              <w:rPr>
                <w:rFonts w:ascii="SimSun" w:hAnsi="SimSun"/>
                <w:b w:val="false"/>
                <w:i w:val="false"/>
                <w:color w:val="000000"/>
                <w:sz w:val="21"/>
              </w:rPr>
              <w:t xml:space="preserve"> </w:t>
            </w:r>
            <w:r>
              <w:rPr>
                <w:rFonts w:ascii="SimSun" w:hAnsi="SimSun"/>
                <w:b w:val="false"/>
                <w:i w:val="false"/>
                <w:color w:val="000000"/>
                <w:sz w:val="21"/>
              </w:rPr>
              <w:t xml:space="preserve"> </w:t>
            </w:r>
            <w:r>
              <w:rPr>
                <w:rFonts w:ascii="SimSun" w:hAnsi="SimSun"/>
                <w:b w:val="false"/>
                <w:i w:val="false"/>
                <w:color w:val="000000"/>
                <w:sz w:val="21"/>
              </w:rPr>
              <w:t>%</w:t>
            </w:r>
          </w:p>
        </w:tc>
        <w:tc>
          <w:tcPr>
            <w:tcW w:w="0" w:type="auto"/>
            <w:vMerge/>
            <w:tcBorders>
              <w:top w:val="nil"/>
              <w:left w:val="single" w:color="000000" w:sz="8"/>
              <w:right w:val="single" w:color="000000" w:sz="8"/>
            </w:tcBorders>
          </w:tcPr>
          <w:p/>
        </w:tc>
      </w:tr>
      <w:tr>
        <w:trPr>
          <w:trHeight w:val="45" w:hRule="atLeast"/>
        </w:trPr>
        <w:tc>
          <w:tcPr>
            <w:tcW w:w="0" w:type="auto"/>
            <w:vMerge/>
            <w:tcBorders>
              <w:top w:val="nil"/>
              <w:left w:val="single" w:color="000000" w:sz="8"/>
            </w:tcBorders>
          </w:tcPr>
          <w:p/>
        </w:tc>
        <w:tc>
          <w:tcPr>
            <w:tcW w:w="3409"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29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面试成绩</w:t>
            </w:r>
            <w:r>
              <w:rPr>
                <w:rFonts w:ascii="SimSun" w:hAnsi="SimSun"/>
                <w:b w:val="false"/>
                <w:i w:val="false"/>
                <w:color w:val="000000"/>
                <w:sz w:val="21"/>
              </w:rPr>
              <w:t xml:space="preserve"> </w:t>
            </w:r>
            <w:r>
              <w:rPr>
                <w:rFonts w:ascii="SimSun" w:hAnsi="SimSun"/>
                <w:b w:val="false"/>
                <w:i w:val="false"/>
                <w:color w:val="000000"/>
                <w:sz w:val="21"/>
              </w:rPr>
              <w:t xml:space="preserve"> </w:t>
            </w:r>
            <w:r>
              <w:rPr>
                <w:rFonts w:ascii="SimSun" w:hAnsi="SimSun"/>
                <w:b w:val="false"/>
                <w:i w:val="false"/>
                <w:color w:val="000000"/>
                <w:sz w:val="21"/>
              </w:rPr>
              <w:t>%</w:t>
            </w:r>
          </w:p>
        </w:tc>
        <w:tc>
          <w:tcPr>
            <w:tcW w:w="3408" w:type="dxa"/>
            <w:vMerge w:val="restart"/>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2999"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学业成绩</w:t>
            </w:r>
            <w:r>
              <w:rPr>
                <w:rFonts w:ascii="SimSun" w:hAnsi="SimSun"/>
                <w:b w:val="false"/>
                <w:i w:val="false"/>
                <w:color w:val="000000"/>
                <w:sz w:val="21"/>
              </w:rPr>
              <w:t xml:space="preserve"> </w:t>
            </w:r>
            <w:r>
              <w:rPr>
                <w:rFonts w:ascii="SimSun" w:hAnsi="SimSun"/>
                <w:b w:val="false"/>
                <w:i w:val="false"/>
                <w:color w:val="000000"/>
                <w:sz w:val="21"/>
              </w:rPr>
              <w:t xml:space="preserve"> </w:t>
            </w:r>
            <w:r>
              <w:rPr>
                <w:rFonts w:ascii="SimSun" w:hAnsi="SimSun"/>
                <w:b w:val="false"/>
                <w:i w:val="false"/>
                <w:color w:val="000000"/>
                <w:sz w:val="21"/>
              </w:rPr>
              <w:t>%</w:t>
            </w:r>
          </w:p>
        </w:tc>
        <w:tc>
          <w:tcPr>
            <w:tcW w:w="0" w:type="auto"/>
            <w:vMerge/>
            <w:tcBorders>
              <w:top w:val="nil"/>
              <w:left w:val="single" w:color="000000" w:sz="8"/>
              <w:right w:val="single" w:color="000000" w:sz="8"/>
            </w:tcBorders>
          </w:tcP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2999"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其他</w:t>
            </w:r>
            <w:r>
              <w:rPr>
                <w:rFonts w:ascii="SimSun" w:hAnsi="SimSun"/>
                <w:b w:val="false"/>
                <w:i w:val="false"/>
                <w:color w:val="000000"/>
                <w:sz w:val="21"/>
              </w:rPr>
              <w:t xml:space="preserve"> </w:t>
            </w:r>
            <w:r>
              <w:rPr>
                <w:rFonts w:ascii="SimSun" w:hAnsi="SimSun"/>
                <w:b w:val="false"/>
                <w:i w:val="false"/>
                <w:color w:val="000000"/>
                <w:sz w:val="21"/>
              </w:rPr>
              <w:t xml:space="preserve"> </w:t>
            </w:r>
            <w:r>
              <w:rPr>
                <w:rFonts w:ascii="SimSun" w:hAnsi="SimSun"/>
                <w:b w:val="false"/>
                <w:i w:val="false"/>
                <w:color w:val="000000"/>
                <w:sz w:val="21"/>
              </w:rPr>
              <w:t>%</w:t>
            </w:r>
          </w:p>
        </w:tc>
        <w:tc>
          <w:tcPr>
            <w:tcW w:w="0" w:type="auto"/>
            <w:vMerge/>
            <w:tcBorders>
              <w:top w:val="nil"/>
              <w:left w:val="single" w:color="000000" w:sz="8"/>
              <w:right w:val="single" w:color="000000" w:sz="8"/>
            </w:tcBorders>
          </w:tcPr>
          <w:p/>
        </w:tc>
      </w:tr>
      <w:tr>
        <w:trPr>
          <w:trHeight w:val="45" w:hRule="atLeast"/>
        </w:trPr>
        <w:tc>
          <w:tcPr>
            <w:tcW w:w="381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否   （只出不进）</w:t>
            </w:r>
          </w:p>
        </w:tc>
        <w:tc>
          <w:tcPr>
            <w:tcW w:w="340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
                      /
                    </w:t>
            </w:r>
          </w:p>
        </w:tc>
        <w:tc>
          <w:tcPr>
            <w:tcW w:w="299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
                      /
                    </w:t>
            </w:r>
          </w:p>
        </w:tc>
        <w:tc>
          <w:tcPr>
            <w:tcW w:w="3408"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
                      /
                    </w:t>
            </w:r>
          </w:p>
        </w:tc>
      </w:tr>
    </w:tbl>
    <w:p>
      <w:pPr>
        <w:spacing w:after="0"/>
        <w:ind w:left="0"/>
        <w:jc w:val="left"/>
      </w:pPr>
      <w:r>
        <w:rPr>
          <w:rFonts w:ascii="SimSun" w:hAnsi="SimSun"/>
          <w:b w:val="false"/>
          <w:i w:val="false"/>
          <w:color w:val="000000"/>
          <w:sz w:val="21"/>
        </w:rPr>
        <w:t xml:space="preserve">
                  5.学位授予说明：
      </w:t>
      </w:r>
    </w:p>
    <w:tbl>
      <w:tblPr>
        <w:tblW w:w="0" w:type="auto"/>
        <w:tblCellSpacing w:w="0" w:type="auto"/>
        <w:tblBorders>
          <w:top w:val="none"/>
          <w:left w:val="none"/>
          <w:bottom w:val="none"/>
          <w:right w:val="none"/>
          <w:insideH w:val="none"/>
          <w:insideV w:val="none"/>
        </w:tblBorders>
      </w:tblPr>
      <w:tblGrid>
        <w:gridCol w:w="1637"/>
        <w:gridCol w:w="2046"/>
        <w:gridCol w:w="1772"/>
        <w:gridCol w:w="1772"/>
        <w:gridCol w:w="1772"/>
        <w:gridCol w:w="954"/>
        <w:gridCol w:w="3681"/>
      </w:tblGrid>
      <w:tr>
        <w:trPr>
          <w:trHeight w:val="45" w:hRule="atLeast"/>
        </w:trPr>
        <w:tc>
          <w:tcPr>
            <w:tcW w:w="16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学段</w:t>
            </w:r>
          </w:p>
        </w:tc>
        <w:tc>
          <w:tcPr>
            <w:tcW w:w="20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时间</w:t>
            </w:r>
          </w:p>
        </w:tc>
        <w:tc>
          <w:tcPr>
            <w:tcW w:w="177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授予学位</w:t>
            </w:r>
          </w:p>
        </w:tc>
        <w:tc>
          <w:tcPr>
            <w:tcW w:w="177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学位类型</w:t>
            </w:r>
          </w:p>
        </w:tc>
        <w:tc>
          <w:tcPr>
            <w:tcW w:w="177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专业名称</w:t>
            </w:r>
          </w:p>
        </w:tc>
        <w:tc>
          <w:tcPr>
            <w:tcW w:w="0" w:type="auto"/>
            <w:gridSpan w:val="2"/>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学段审核要求</w:t>
            </w:r>
          </w:p>
        </w:tc>
      </w:tr>
      <w:tr>
        <w:trPr>
          <w:trHeight w:val="45" w:hRule="atLeast"/>
        </w:trPr>
        <w:tc>
          <w:tcPr>
            <w:tcW w:w="1637"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
                      本科生学段
                    </w:t>
            </w:r>
          </w:p>
        </w:tc>
        <w:tc>
          <w:tcPr>
            <w:tcW w:w="2046"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r>
              <w:rPr>
                <w:rFonts w:ascii="SimSun" w:hAnsi="SimSun"/>
                <w:b w:val="false"/>
                <w:i w:val="false"/>
                <w:color w:val="000000"/>
                <w:sz w:val="21"/>
              </w:rPr>
              <w:t xml:space="preserve">年级
                    </w:t>
            </w:r>
          </w:p>
        </w:tc>
        <w:tc>
          <w:tcPr>
            <w:tcW w:w="1772"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历史学学士</w:t>
            </w:r>
          </w:p>
        </w:tc>
        <w:tc>
          <w:tcPr>
            <w:tcW w:w="1772"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1772"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文物与博物馆学（科技考古））</w:t>
            </w:r>
          </w:p>
        </w:tc>
        <w:tc>
          <w:tcPr>
            <w:tcW w:w="0" w:type="auto"/>
            <w:gridSpan w:val="2"/>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按照不少于总学分比例</w:t>
            </w:r>
            <w:r>
              <w:rPr>
                <w:rFonts w:ascii="SimSun" w:hAnsi="SimSun"/>
                <w:b w:val="false"/>
                <w:i w:val="false"/>
                <w:color w:val="000000"/>
                <w:sz w:val="21"/>
              </w:rPr>
              <w:t xml:space="preserve"> </w:t>
            </w:r>
            <w:r>
              <w:rPr>
                <w:rFonts w:ascii="SimSun" w:hAnsi="SimSun"/>
                <w:b w:val="false"/>
                <w:i w:val="false"/>
                <w:color w:val="000000"/>
                <w:sz w:val="21"/>
              </w:rPr>
              <w:t xml:space="preserve"> </w:t>
            </w:r>
            <w:r>
              <w:rPr>
                <w:rFonts w:ascii="SimSun" w:hAnsi="SimSun"/>
                <w:b w:val="false"/>
                <w:i w:val="false"/>
                <w:color w:val="000000"/>
                <w:sz w:val="21"/>
              </w:rPr>
              <w:t>%</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gridSpan w:val="2"/>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 xml:space="preserve">按照不少于学分数   </w:t>
            </w:r>
            <w:r>
              <w:rPr>
                <w:rFonts w:ascii="SimSun" w:hAnsi="SimSun"/>
                <w:b w:val="false"/>
                <w:i w:val="false"/>
                <w:color w:val="000000"/>
                <w:sz w:val="21"/>
              </w:rPr>
              <w:t xml:space="preserve"> </w:t>
            </w:r>
            <w:r>
              <w:rPr>
                <w:rFonts w:ascii="SimSun" w:hAnsi="SimSun"/>
                <w:b w:val="false"/>
                <w:i w:val="false"/>
                <w:color w:val="000000"/>
                <w:sz w:val="21"/>
              </w:rPr>
              <w:t>144</w:t>
            </w:r>
          </w:p>
        </w:tc>
      </w:tr>
      <w:tr>
        <w:trPr/>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954" w:type="dxa"/>
            <w:vMerge w:val="restart"/>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 xml:space="preserve">必修课组须通过   </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right w:val="single" w:color="000000" w:sz="8"/>
            </w:tcBorders>
          </w:tcPr>
          <w:p/>
        </w:tc>
        <w:tc>
          <w:tcPr>
            <w:tcW w:w="3681"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通识教育课程</w:t>
            </w:r>
            <w:r>
              <w:rPr>
                <w:rFonts w:ascii="SimSun" w:hAnsi="SimSun"/>
                <w:b w:val="false"/>
                <w:i w:val="false"/>
                <w:color w:val="000000"/>
                <w:sz w:val="21"/>
              </w:rPr>
              <w:t xml:space="preserve"> </w:t>
            </w:r>
            <w:r>
              <w:rPr>
                <w:rFonts w:ascii="SimSun" w:hAnsi="SimSun"/>
                <w:b w:val="false"/>
                <w:i w:val="false"/>
                <w:color w:val="000000"/>
                <w:sz w:val="21"/>
              </w:rPr>
              <w:t>44</w:t>
            </w:r>
            <w:r>
              <w:rPr>
                <w:rFonts w:ascii="SimSun" w:hAnsi="SimSun"/>
                <w:b w:val="false"/>
                <w:i w:val="false"/>
                <w:color w:val="000000"/>
                <w:sz w:val="21"/>
              </w:rPr>
              <w:t xml:space="preserve"> </w:t>
            </w:r>
            <w:r>
              <w:rPr>
                <w:rFonts w:ascii="SimSun" w:hAnsi="SimSun"/>
                <w:b w:val="false"/>
                <w:i w:val="false"/>
                <w:color w:val="000000"/>
                <w:sz w:val="21"/>
              </w:rPr>
              <w:t>学分</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right w:val="single" w:color="000000" w:sz="8"/>
            </w:tcBorders>
          </w:tcPr>
          <w:p/>
        </w:tc>
        <w:tc>
          <w:tcPr>
            <w:tcW w:w="3681"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专业培养课程</w:t>
            </w:r>
            <w:r>
              <w:rPr>
                <w:rFonts w:ascii="SimSun" w:hAnsi="SimSun"/>
                <w:b w:val="false"/>
                <w:i w:val="false"/>
                <w:color w:val="000000"/>
                <w:sz w:val="21"/>
              </w:rPr>
              <w:t xml:space="preserve"> </w:t>
            </w:r>
            <w:r>
              <w:rPr>
                <w:rFonts w:ascii="SimSun" w:hAnsi="SimSun"/>
                <w:b w:val="false"/>
                <w:i w:val="false"/>
                <w:color w:val="000000"/>
                <w:sz w:val="21"/>
              </w:rPr>
              <w:t>74</w:t>
            </w:r>
            <w:r>
              <w:rPr>
                <w:rFonts w:ascii="SimSun" w:hAnsi="SimSun"/>
                <w:b w:val="false"/>
                <w:i w:val="false"/>
                <w:color w:val="000000"/>
                <w:sz w:val="21"/>
              </w:rPr>
              <w:t xml:space="preserve"> </w:t>
            </w:r>
            <w:r>
              <w:rPr>
                <w:rFonts w:ascii="SimSun" w:hAnsi="SimSun"/>
                <w:b w:val="false"/>
                <w:i w:val="false"/>
                <w:color w:val="000000"/>
                <w:sz w:val="21"/>
              </w:rPr>
              <w:t>学分</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right w:val="single" w:color="000000" w:sz="8"/>
            </w:tcBorders>
          </w:tcPr>
          <w:p/>
        </w:tc>
        <w:tc>
          <w:tcPr>
            <w:tcW w:w="3681"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任意选修</w:t>
            </w:r>
            <w:r>
              <w:rPr>
                <w:rFonts w:ascii="SimSun" w:hAnsi="SimSun"/>
                <w:b w:val="false"/>
                <w:i w:val="false"/>
                <w:color w:val="000000"/>
                <w:sz w:val="21"/>
              </w:rPr>
              <w:t xml:space="preserve"> </w:t>
            </w:r>
            <w:r>
              <w:rPr>
                <w:rFonts w:ascii="SimSun" w:hAnsi="SimSun"/>
                <w:b w:val="false"/>
                <w:i w:val="false"/>
                <w:color w:val="000000"/>
                <w:sz w:val="21"/>
              </w:rPr>
              <w:t xml:space="preserve"> </w:t>
            </w:r>
            <w:r>
              <w:rPr>
                <w:rFonts w:ascii="SimSun" w:hAnsi="SimSun"/>
                <w:b w:val="false"/>
                <w:i w:val="false"/>
                <w:color w:val="000000"/>
                <w:sz w:val="21"/>
              </w:rPr>
              <w:t>学分</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right w:val="single" w:color="000000" w:sz="8"/>
            </w:tcBorders>
          </w:tcPr>
          <w:p/>
        </w:tc>
        <w:tc>
          <w:tcPr>
            <w:tcW w:w="3681"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专业进阶模块</w:t>
            </w:r>
            <w:r>
              <w:rPr>
                <w:rFonts w:ascii="SimSun" w:hAnsi="SimSun"/>
                <w:b w:val="false"/>
                <w:i w:val="false"/>
                <w:color w:val="000000"/>
                <w:sz w:val="21"/>
              </w:rPr>
              <w:t xml:space="preserve"> </w:t>
            </w:r>
            <w:r>
              <w:rPr>
                <w:rFonts w:ascii="SimSun" w:hAnsi="SimSun"/>
                <w:b w:val="false"/>
                <w:i w:val="false"/>
                <w:color w:val="000000"/>
                <w:sz w:val="21"/>
              </w:rPr>
              <w:t>15</w:t>
            </w:r>
            <w:r>
              <w:rPr>
                <w:rFonts w:ascii="SimSun" w:hAnsi="SimSun"/>
                <w:b w:val="false"/>
                <w:i w:val="false"/>
                <w:color w:val="000000"/>
                <w:sz w:val="21"/>
              </w:rPr>
              <w:t xml:space="preserve"> </w:t>
            </w:r>
            <w:r>
              <w:rPr>
                <w:rFonts w:ascii="SimSun" w:hAnsi="SimSun"/>
                <w:b w:val="false"/>
                <w:i w:val="false"/>
                <w:color w:val="000000"/>
                <w:sz w:val="21"/>
              </w:rPr>
              <w:t>学分</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right w:val="single" w:color="000000" w:sz="8"/>
            </w:tcBorders>
          </w:tcPr>
          <w:p/>
        </w:tc>
        <w:tc>
          <w:tcPr>
            <w:tcW w:w="3681"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融合创新能力实践模块</w:t>
            </w:r>
            <w:r>
              <w:rPr>
                <w:rFonts w:ascii="SimSun" w:hAnsi="SimSun"/>
                <w:b w:val="false"/>
                <w:i w:val="false"/>
                <w:color w:val="000000"/>
                <w:sz w:val="21"/>
              </w:rPr>
              <w:t xml:space="preserve"> </w:t>
            </w:r>
            <w:r>
              <w:rPr>
                <w:rFonts w:ascii="SimSun" w:hAnsi="SimSun"/>
                <w:b w:val="false"/>
                <w:i w:val="false"/>
                <w:color w:val="000000"/>
                <w:sz w:val="21"/>
              </w:rPr>
              <w:t>5</w:t>
            </w:r>
            <w:r>
              <w:rPr>
                <w:rFonts w:ascii="SimSun" w:hAnsi="SimSun"/>
                <w:b w:val="false"/>
                <w:i w:val="false"/>
                <w:color w:val="000000"/>
                <w:sz w:val="21"/>
              </w:rPr>
              <w:t xml:space="preserve"> </w:t>
            </w:r>
            <w:r>
              <w:rPr>
                <w:rFonts w:ascii="SimSun" w:hAnsi="SimSun"/>
                <w:b w:val="false"/>
                <w:i w:val="false"/>
                <w:color w:val="000000"/>
                <w:sz w:val="21"/>
              </w:rPr>
              <w:t>学分</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right w:val="single" w:color="000000" w:sz="8"/>
            </w:tcBorders>
          </w:tcPr>
          <w:p/>
        </w:tc>
        <w:tc>
          <w:tcPr>
            <w:tcW w:w="3681"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融合创新能力实训模块</w:t>
            </w:r>
            <w:r>
              <w:rPr>
                <w:rFonts w:ascii="SimSun" w:hAnsi="SimSun"/>
                <w:b w:val="false"/>
                <w:i w:val="false"/>
                <w:color w:val="000000"/>
                <w:sz w:val="21"/>
              </w:rPr>
              <w:t xml:space="preserve"> </w:t>
            </w:r>
            <w:r>
              <w:rPr>
                <w:rFonts w:ascii="SimSun" w:hAnsi="SimSun"/>
                <w:b w:val="false"/>
                <w:i w:val="false"/>
                <w:color w:val="000000"/>
                <w:sz w:val="21"/>
              </w:rPr>
              <w:t>6</w:t>
            </w:r>
            <w:r>
              <w:rPr>
                <w:rFonts w:ascii="SimSun" w:hAnsi="SimSun"/>
                <w:b w:val="false"/>
                <w:i w:val="false"/>
                <w:color w:val="000000"/>
                <w:sz w:val="21"/>
              </w:rPr>
              <w:t xml:space="preserve"> </w:t>
            </w:r>
            <w:r>
              <w:rPr>
                <w:rFonts w:ascii="SimSun" w:hAnsi="SimSun"/>
                <w:b w:val="false"/>
                <w:i w:val="false"/>
                <w:color w:val="000000"/>
                <w:sz w:val="21"/>
              </w:rPr>
              <w:t>学分</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gridSpan w:val="2"/>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 xml:space="preserve">其他   </w:t>
            </w:r>
            <w:r>
              <w:rPr>
                <w:rFonts w:ascii="SimSun" w:hAnsi="SimSun"/>
                <w:b w:val="false"/>
                <w:i w:val="false"/>
                <w:color w:val="000000"/>
                <w:sz w:val="21"/>
              </w:rPr>
              <w:t xml:space="preserve"> </w:t>
            </w:r>
          </w:p>
        </w:tc>
      </w:tr>
      <w:tr>
        <w:trPr>
          <w:trHeight w:val="45" w:hRule="atLeast"/>
        </w:trPr>
        <w:tc>
          <w:tcPr>
            <w:tcW w:w="1637"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研究生学段（博士生资格考核分流）</w:t>
            </w:r>
          </w:p>
        </w:tc>
        <w:tc>
          <w:tcPr>
            <w:tcW w:w="2046"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r>
              <w:rPr>
                <w:rFonts w:ascii="SimSun" w:hAnsi="SimSun"/>
                <w:b w:val="false"/>
                <w:i w:val="false"/>
                <w:color w:val="000000"/>
                <w:sz w:val="21"/>
              </w:rPr>
              <w:t xml:space="preserve"> </w:t>
            </w:r>
            <w:r>
              <w:rPr>
                <w:rFonts w:ascii="SimSun" w:hAnsi="SimSun"/>
                <w:b w:val="false"/>
                <w:i w:val="false"/>
                <w:color w:val="000000"/>
                <w:sz w:val="21"/>
              </w:rPr>
              <w:t>年级</w:t>
            </w:r>
          </w:p>
        </w:tc>
        <w:tc>
          <w:tcPr>
            <w:tcW w:w="1772"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历史学硕士</w:t>
            </w:r>
          </w:p>
        </w:tc>
        <w:tc>
          <w:tcPr>
            <w:tcW w:w="1772"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学术学位</w:t>
            </w:r>
          </w:p>
        </w:tc>
        <w:tc>
          <w:tcPr>
            <w:tcW w:w="1772"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考古学</w:t>
            </w:r>
          </w:p>
        </w:tc>
        <w:tc>
          <w:tcPr>
            <w:tcW w:w="0" w:type="auto"/>
            <w:gridSpan w:val="2"/>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 xml:space="preserve">按照本硕融通培养方案进行毕业审核   </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gridSpan w:val="2"/>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 xml:space="preserve">按照硕士培养方案进行毕业审核   </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gridSpan w:val="2"/>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 xml:space="preserve">其他   </w:t>
            </w:r>
            <w:r>
              <w:rPr>
                <w:rFonts w:ascii="SimSun" w:hAnsi="SimSun"/>
                <w:b w:val="false"/>
                <w:i w:val="false"/>
                <w:color w:val="000000"/>
                <w:sz w:val="21"/>
              </w:rPr>
              <w:t xml:space="preserve"> </w:t>
            </w:r>
          </w:p>
        </w:tc>
      </w:tr>
      <w:tr>
        <w:trPr>
          <w:trHeight w:val="45" w:hRule="atLeast"/>
        </w:trPr>
        <w:tc>
          <w:tcPr>
            <w:tcW w:w="1637" w:type="dxa"/>
            <w:vMerge w:val="restart"/>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
                      博士生学段
                    </w:t>
            </w:r>
          </w:p>
        </w:tc>
        <w:tc>
          <w:tcPr>
            <w:tcW w:w="2046" w:type="dxa"/>
            <w:vMerge w:val="restart"/>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8</w:t>
            </w:r>
            <w:r>
              <w:rPr>
                <w:rFonts w:ascii="SimSun" w:hAnsi="SimSun"/>
                <w:b w:val="false"/>
                <w:i w:val="false"/>
                <w:color w:val="000000"/>
                <w:sz w:val="21"/>
              </w:rPr>
              <w:t xml:space="preserve"> </w:t>
            </w:r>
            <w:r>
              <w:rPr>
                <w:rFonts w:ascii="SimSun" w:hAnsi="SimSun"/>
                <w:b w:val="false"/>
                <w:i w:val="false"/>
                <w:color w:val="000000"/>
                <w:sz w:val="21"/>
              </w:rPr>
              <w:t>年级</w:t>
            </w:r>
          </w:p>
        </w:tc>
        <w:tc>
          <w:tcPr>
            <w:tcW w:w="1772" w:type="dxa"/>
            <w:vMerge w:val="restart"/>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历史学博士</w:t>
            </w:r>
          </w:p>
        </w:tc>
        <w:tc>
          <w:tcPr>
            <w:tcW w:w="1772" w:type="dxa"/>
            <w:vMerge w:val="restart"/>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学术学位</w:t>
            </w:r>
          </w:p>
        </w:tc>
        <w:tc>
          <w:tcPr>
            <w:tcW w:w="1772" w:type="dxa"/>
            <w:vMerge w:val="restart"/>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考古学</w:t>
            </w:r>
          </w:p>
        </w:tc>
        <w:tc>
          <w:tcPr>
            <w:tcW w:w="0" w:type="auto"/>
            <w:gridSpan w:val="2"/>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 xml:space="preserve">按照“2+X+Y”本博融通培养方案进行毕业审核   </w:t>
            </w:r>
          </w:p>
        </w:tc>
      </w:tr>
    </w:tbl>
    <w:p>
      <w:pPr>
        <w:spacing w:after="0"/>
        <w:ind w:left="0"/>
        <w:jc w:val="left"/>
      </w:pPr>
      <w:r>
        <w:rPr>
          <w:rFonts w:ascii="SimSun" w:hAnsi="SimSun"/>
          <w:b/>
          <w:i w:val="false"/>
          <w:color w:val="000000"/>
          <w:sz w:val="24"/>
        </w:rPr>
        <w:t xml:space="preserve">
       五.    学分要求
      </w:t>
      </w:r>
    </w:p>
    <w:p>
      <w:pPr>
        <w:spacing w:after="0"/>
        <w:ind w:left="0"/>
        <w:jc w:val="left"/>
      </w:pPr>
      <w:r>
        <w:drawing>
          <wp:inline distT="0" distB="0" distL="0" distR="0">
            <wp:extent cx="3556000" cy="1253067"/>
            <wp:effectExtent l="0" t="0" r="0" b="0"/>
            <wp:docPr id="0" name="" descr=""/>
            <wp:cNvGraphicFramePr>
              <a:graphicFrameLocks noChangeAspect="true"/>
            </wp:cNvGraphicFramePr>
            <a:graphic>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3556000" cy="1253067"/>
                    </a:xfrm>
                    <a:prstGeom prst="rect">
                      <a:avLst/>
                    </a:prstGeom>
                  </pic:spPr>
                </pic:pic>
              </a:graphicData>
            </a:graphic>
          </wp:inline>
        </w:drawing>
      </w:r>
    </w:p>
    <w:p>
      <w:pPr>
        <w:spacing w:after="0"/>
        <w:ind w:left="0"/>
        <w:jc w:val="left"/>
      </w:pPr>
      <w:r>
        <w:rPr>
          <w:rFonts w:ascii="SimSun" w:hAnsi="SimSun"/>
          <w:b w:val="false"/>
          <w:i w:val="false"/>
          <w:color w:val="000000"/>
          <w:sz w:val="21"/>
        </w:rPr>
        <w:t>1、 本研融通专业进阶路径：167学分</w:t>
      </w:r>
    </w:p>
    <w:p>
      <w:pPr>
        <w:spacing w:after="0"/>
        <w:ind w:left="0"/>
        <w:jc w:val="left"/>
      </w:pPr>
      <w:r>
        <w:rPr>
          <w:rFonts w:ascii="SimSun" w:hAnsi="SimSun"/>
          <w:b w:val="false"/>
          <w:i w:val="false"/>
          <w:color w:val="000000"/>
          <w:sz w:val="21"/>
        </w:rPr>
        <w:t>学生本博期间必须修满教学计划规定的167学分，包括通识教育课程46学分、专业培养课74学分、专业进阶模块I 20学分（研究生课程不少于10学分）、专业进阶模块II 10学分、融合创新能力模块17学分的修读。</w:t>
      </w:r>
      <w:r>
        <w:br/>
      </w:r>
      <w:r>
        <w:br/>
      </w:r>
      <w:r>
        <w:rPr>
          <w:rFonts w:ascii="SimSun" w:hAnsi="SimSun"/>
          <w:b w:val="false"/>
          <w:i w:val="false"/>
          <w:color w:val="000000"/>
          <w:sz w:val="21"/>
        </w:rPr>
        <w:t xml:space="preserve">其中，本科学段需要完成144学分（含实践学分不低于22学分；含美育学分不少于2学分，其中至少在“美学和艺术史论类”或“艺术鉴赏和评论类”课程中修读1学分，并至少参与一项艺术实践活动；劳动教育不少于32学时，并满足劳动周教育要求），包括通识教育课程44学分、专业培养课程74学分、专业进阶模块修读15学分、融合创新能力模块11学分。   </w:t>
      </w:r>
    </w:p>
    <w:p>
      <w:pPr>
        <w:spacing w:after="0"/>
        <w:ind w:left="0"/>
        <w:jc w:val="left"/>
      </w:pPr>
      <w:r>
        <w:rPr>
          <w:rFonts w:ascii="SimSun" w:hAnsi="SimSun"/>
          <w:b w:val="false"/>
          <w:i w:val="false"/>
          <w:color w:val="000000"/>
          <w:sz w:val="21"/>
        </w:rPr>
        <w:t>2、荣誉项目</w:t>
      </w:r>
    </w:p>
    <w:p>
      <w:pPr>
        <w:spacing w:after="0"/>
        <w:ind w:left="0"/>
        <w:jc w:val="left"/>
      </w:pPr>
      <w:r>
        <w:rPr>
          <w:rFonts w:ascii="SimSun" w:hAnsi="SimSun"/>
          <w:b w:val="false"/>
          <w:i w:val="false"/>
          <w:color w:val="000000"/>
          <w:sz w:val="21"/>
        </w:rPr>
        <w:t xml:space="preserve"> 本科学段按其相应修读要求。荣誉项目课程设置和修读要求请见文物与博物馆学系“本科荣誉项目”实施方案。</w:t>
      </w:r>
    </w:p>
    <w:p>
      <w:pPr>
        <w:spacing w:after="0"/>
        <w:ind w:left="0"/>
        <w:jc w:val="left"/>
      </w:pPr>
      <w:r>
        <w:rPr>
          <w:rFonts w:ascii="SimSun" w:hAnsi="SimSun"/>
          <w:b w:val="false"/>
          <w:i w:val="false"/>
          <w:color w:val="000000"/>
          <w:sz w:val="21"/>
        </w:rPr>
        <w:t>3、跨学科发展路径：182学分</w:t>
      </w:r>
    </w:p>
    <w:p>
      <w:pPr>
        <w:spacing w:after="0"/>
        <w:ind w:left="0"/>
        <w:jc w:val="left"/>
      </w:pPr>
      <w:r>
        <w:rPr>
          <w:rFonts w:ascii="SimSun" w:hAnsi="SimSun"/>
          <w:b w:val="false"/>
          <w:i w:val="false"/>
          <w:color w:val="000000"/>
          <w:sz w:val="21"/>
        </w:rPr>
        <w:t>在专业进阶路径或荣誉项目基础上，修读1个非本专业独立开设的微专业（学程），具体要求见教务处微专业（学程）项目网页。</w:t>
      </w:r>
    </w:p>
    <w:p>
      <w:pPr>
        <w:spacing w:after="0"/>
        <w:ind w:left="0"/>
        <w:jc w:val="left"/>
      </w:pPr>
      <w:r>
        <w:rPr>
          <w:rFonts w:ascii="SimSun" w:hAnsi="SimSun"/>
          <w:b w:val="false"/>
          <w:i w:val="false"/>
          <w:color w:val="000000"/>
          <w:sz w:val="21"/>
        </w:rPr>
        <w:t>4、辅修学士学位路径：207学分</w:t>
      </w:r>
    </w:p>
    <w:p>
      <w:pPr>
        <w:spacing w:after="0"/>
        <w:ind w:left="0"/>
        <w:jc w:val="left"/>
      </w:pPr>
      <w:r>
        <w:rPr>
          <w:rFonts w:ascii="SimSun" w:hAnsi="SimSun"/>
          <w:b w:val="false"/>
          <w:i w:val="false"/>
          <w:color w:val="000000"/>
          <w:sz w:val="21"/>
        </w:rPr>
        <w:t>在专业进阶路径或荣誉项目基础上，修读1个辅修学士学位项目，具体要求见教务处辅修学士学位项目网页。</w:t>
      </w:r>
    </w:p>
    <w:p>
      <w:pPr>
        <w:spacing w:after="0"/>
        <w:ind w:left="0"/>
        <w:jc w:val="left"/>
      </w:pPr>
      <w:r>
        <w:rPr>
          <w:rFonts w:ascii="SimSun" w:hAnsi="SimSun"/>
          <w:b w:val="false"/>
          <w:i w:val="false"/>
          <w:color w:val="000000"/>
          <w:sz w:val="21"/>
        </w:rPr>
        <w:t>5、创新创业路径：182学分</w:t>
      </w:r>
    </w:p>
    <w:p>
      <w:pPr>
        <w:spacing w:after="0"/>
        <w:ind w:left="0"/>
        <w:jc w:val="left"/>
      </w:pPr>
      <w:r>
        <w:rPr>
          <w:rFonts w:ascii="SimSun" w:hAnsi="SimSun"/>
          <w:b w:val="false"/>
          <w:i w:val="false"/>
          <w:color w:val="000000"/>
          <w:sz w:val="21"/>
        </w:rPr>
        <w:t>在专业进阶路径或荣誉项目基础上，修读1个创新创业学院开设的创新创业微专业（学程），具体要求见教务处微专业（学程）项目网页。</w:t>
      </w:r>
    </w:p>
    <w:p>
      <w:pPr>
        <w:spacing w:after="0"/>
        <w:ind w:left="0"/>
        <w:jc w:val="left"/>
      </w:pPr>
      <w:r>
        <w:br/>
      </w:r>
      <w:r>
        <w:br/>
      </w:r>
      <w:r>
        <w:rPr>
          <w:rFonts w:ascii="SimSun" w:hAnsi="SimSun"/>
          <w:b w:val="false"/>
          <w:i w:val="false"/>
          <w:color w:val="000000"/>
          <w:sz w:val="21"/>
        </w:rPr>
        <w:t xml:space="preserve">   </w:t>
      </w:r>
    </w:p>
    <w:p>
      <w:pPr>
        <w:spacing w:after="0"/>
        <w:ind w:left="0"/>
        <w:jc w:val="left"/>
      </w:pPr>
      <w:r>
        <w:rPr>
          <w:rFonts w:ascii="SimSun" w:hAnsi="SimSun"/>
          <w:b/>
          <w:i w:val="false"/>
          <w:color w:val="000000"/>
          <w:sz w:val="24"/>
        </w:rPr>
        <w:t xml:space="preserve">
       六.    学位要求
      </w:t>
      </w:r>
    </w:p>
    <w:p>
      <w:pPr>
        <w:spacing w:after="0"/>
        <w:ind w:left="0"/>
        <w:jc w:val="left"/>
      </w:pPr>
      <w:r>
        <w:rPr>
          <w:rFonts w:ascii="SimSun" w:hAnsi="SimSun"/>
          <w:b w:val="false"/>
          <w:i w:val="false"/>
          <w:color w:val="000000"/>
          <w:sz w:val="21"/>
        </w:rPr>
        <w:t>（一）本科学位</w:t>
      </w:r>
    </w:p>
    <w:p>
      <w:pPr>
        <w:spacing w:after="0"/>
        <w:ind w:left="0"/>
        <w:jc w:val="left"/>
      </w:pPr>
      <w:r>
        <w:rPr>
          <w:rFonts w:ascii="SimSun" w:hAnsi="SimSun"/>
          <w:b w:val="false"/>
          <w:i w:val="false"/>
          <w:color w:val="000000"/>
          <w:sz w:val="21"/>
        </w:rPr>
        <w:t xml:space="preserve">1. 4年级结束时，如达到学士学位要求者授予历史学学士学位。  </w:t>
      </w:r>
    </w:p>
    <w:p>
      <w:pPr>
        <w:spacing w:after="0"/>
        <w:ind w:left="0"/>
        <w:jc w:val="left"/>
      </w:pPr>
      <w:r>
        <w:rPr>
          <w:rFonts w:ascii="SimSun" w:hAnsi="SimSun"/>
          <w:b w:val="false"/>
          <w:i w:val="false"/>
          <w:color w:val="000000"/>
          <w:sz w:val="21"/>
        </w:rPr>
        <w:t>（1）修满规定的学分，达到本科教学培养方案规定的各项要求。</w:t>
      </w:r>
    </w:p>
    <w:p>
      <w:pPr>
        <w:spacing w:after="0"/>
        <w:ind w:left="0"/>
        <w:jc w:val="left"/>
      </w:pPr>
      <w:r>
        <w:rPr>
          <w:rFonts w:ascii="SimSun" w:hAnsi="SimSun"/>
          <w:b w:val="false"/>
          <w:i w:val="false"/>
          <w:color w:val="000000"/>
          <w:sz w:val="21"/>
        </w:rPr>
        <w:t>（2）以符合学生毕业时所在专业教学培养方案规定的所有课程的有效成绩为准计算平均绩点，且此平均绩点不低于2.0。</w:t>
      </w:r>
    </w:p>
    <w:p>
      <w:pPr>
        <w:spacing w:after="0"/>
        <w:ind w:left="0"/>
        <w:jc w:val="left"/>
      </w:pPr>
      <w:r>
        <w:rPr>
          <w:rFonts w:ascii="SimSun" w:hAnsi="SimSun"/>
          <w:b w:val="false"/>
          <w:i w:val="false"/>
          <w:color w:val="000000"/>
          <w:sz w:val="21"/>
        </w:rPr>
        <w:t>（3）达到文博系“本科荣誉证书”获得条件的授予“本科荣誉证书”，具体要求请见文博系“荣誉项目”实施方案。</w:t>
      </w:r>
    </w:p>
    <w:p>
      <w:pPr>
        <w:spacing w:after="0"/>
        <w:ind w:left="0"/>
        <w:jc w:val="left"/>
      </w:pPr>
      <w:r>
        <w:rPr>
          <w:rFonts w:ascii="SimSun" w:hAnsi="SimSun"/>
          <w:b w:val="false"/>
          <w:i w:val="false"/>
          <w:color w:val="000000"/>
          <w:sz w:val="21"/>
        </w:rPr>
        <w:t>2. 本科学段主动退出和转段考核不合格退出本博融通计划的学生，需按照相应的本科培养方案修读课程，如达到学士学位要求者授予历史学学士学位。</w:t>
      </w:r>
    </w:p>
    <w:p>
      <w:pPr>
        <w:spacing w:after="0"/>
        <w:ind w:left="0"/>
        <w:jc w:val="left"/>
      </w:pPr>
      <w:r>
        <w:rPr>
          <w:rFonts w:ascii="SimSun" w:hAnsi="SimSun"/>
          <w:b w:val="false"/>
          <w:i w:val="false"/>
          <w:color w:val="000000"/>
          <w:sz w:val="21"/>
        </w:rPr>
        <w:t>（二）研究生学位</w:t>
      </w:r>
    </w:p>
    <w:p>
      <w:pPr>
        <w:spacing w:after="0"/>
        <w:ind w:left="0"/>
        <w:jc w:val="left"/>
      </w:pPr>
      <w:r>
        <w:rPr>
          <w:rFonts w:ascii="SimSun" w:hAnsi="SimSun"/>
          <w:b w:val="false"/>
          <w:i w:val="false"/>
          <w:color w:val="000000"/>
          <w:sz w:val="21"/>
        </w:rPr>
        <w:t>1. 达到博士学位要求者授予历史学博士学位。</w:t>
      </w:r>
    </w:p>
    <w:p>
      <w:pPr>
        <w:spacing w:after="0"/>
        <w:ind w:left="0"/>
        <w:jc w:val="left"/>
      </w:pPr>
      <w:r>
        <w:rPr>
          <w:rFonts w:ascii="SimSun" w:hAnsi="SimSun"/>
          <w:b w:val="false"/>
          <w:i w:val="false"/>
          <w:color w:val="000000"/>
          <w:sz w:val="21"/>
        </w:rPr>
        <w:t>（1）必须已修满学校规定的学分，所有修读课程成绩合格，其中研究生学位课程平均绩点不低于 2.5。</w:t>
      </w:r>
    </w:p>
    <w:p>
      <w:pPr>
        <w:spacing w:after="0"/>
        <w:ind w:left="0"/>
        <w:jc w:val="left"/>
      </w:pPr>
      <w:r>
        <w:rPr>
          <w:rFonts w:ascii="SimSun" w:hAnsi="SimSun"/>
          <w:b w:val="false"/>
          <w:i w:val="false"/>
          <w:color w:val="000000"/>
          <w:sz w:val="21"/>
        </w:rPr>
        <w:t>（2）通过博士学位论文答辩。</w:t>
      </w:r>
    </w:p>
    <w:p>
      <w:pPr>
        <w:spacing w:after="0"/>
        <w:ind w:left="0"/>
        <w:jc w:val="left"/>
      </w:pPr>
      <w:r>
        <w:rPr>
          <w:rFonts w:ascii="SimSun" w:hAnsi="SimSun"/>
          <w:b w:val="false"/>
          <w:i w:val="false"/>
          <w:color w:val="000000"/>
          <w:sz w:val="21"/>
        </w:rPr>
        <w:t>2.  研究生学段主动退出和博士生资格考核不合格退出本博融通计划的学生，需按照考古学学术硕士培养方案修读课程，如达到硕士学位要求者授予历史学硕士学位。</w:t>
      </w:r>
    </w:p>
    <w:p>
      <w:pPr>
        <w:spacing w:after="0"/>
        <w:ind w:left="0"/>
        <w:jc w:val="left"/>
      </w:pPr>
      <w:r>
        <w:rPr>
          <w:rFonts w:ascii="SimSun" w:hAnsi="SimSun"/>
          <w:b w:val="false"/>
          <w:i w:val="false"/>
          <w:color w:val="000000"/>
          <w:sz w:val="21"/>
        </w:rPr>
        <w:t>（1）必须已修满学校规定的学分，所有修读课程成绩合格，其中研究生学位课程平均绩点不低于 2.5。</w:t>
      </w:r>
    </w:p>
    <w:p>
      <w:pPr>
        <w:spacing w:after="0"/>
        <w:ind w:left="0"/>
        <w:jc w:val="left"/>
      </w:pPr>
      <w:r>
        <w:rPr>
          <w:rFonts w:ascii="SimSun" w:hAnsi="SimSun"/>
          <w:b w:val="false"/>
          <w:i w:val="false"/>
          <w:color w:val="000000"/>
          <w:sz w:val="21"/>
        </w:rPr>
        <w:t>（2）通过硕士学位论文答辩。</w:t>
      </w:r>
    </w:p>
    <w:p>
      <w:pPr>
        <w:spacing w:after="0"/>
        <w:ind w:left="0"/>
        <w:jc w:val="left"/>
      </w:pPr>
    </w:p>
    <w:p>
      <w:pPr>
        <w:spacing w:after="0"/>
        <w:ind w:left="0"/>
        <w:jc w:val="left"/>
      </w:pPr>
      <w:r>
        <w:rPr>
          <w:rFonts w:ascii="SimSun" w:hAnsi="SimSun"/>
          <w:b/>
          <w:i w:val="false"/>
          <w:color w:val="000000"/>
          <w:sz w:val="24"/>
        </w:rPr>
        <w:t xml:space="preserve">
       七.    课程体系与科研训练体系
      </w:t>
      </w:r>
    </w:p>
    <w:p>
      <w:pPr>
        <w:spacing w:after="0"/>
        <w:ind w:left="0"/>
        <w:jc w:val="left"/>
      </w:pPr>
      <w:r>
        <w:rPr>
          <w:rFonts w:ascii="SimSun" w:hAnsi="SimSun"/>
          <w:b w:val="false"/>
          <w:i w:val="false"/>
          <w:color w:val="000000"/>
          <w:sz w:val="21"/>
        </w:rPr>
        <w:t>1. 课程体系</w:t>
      </w:r>
    </w:p>
    <w:p>
      <w:pPr>
        <w:spacing w:after="0"/>
        <w:ind w:left="0"/>
        <w:jc w:val="left"/>
      </w:pPr>
      <w:r>
        <w:rPr>
          <w:rFonts w:ascii="SimSun" w:hAnsi="SimSun"/>
          <w:b w:val="false"/>
          <w:i w:val="false"/>
          <w:color w:val="000000"/>
          <w:sz w:val="21"/>
        </w:rPr>
        <w:t>考古学学科基础课程与科技考古方向多学科方法并重的课程体系，以考古学课程与田野考古实践为基础建立了本研融通的专业核心课程体系，以科技考古各学科专业领域为横、课程内容梯度为纵建立了难度逐级提升的本研融通的专业进阶课程体系。</w:t>
      </w:r>
    </w:p>
    <w:p>
      <w:pPr>
        <w:spacing w:after="0"/>
        <w:ind w:left="0"/>
        <w:jc w:val="left"/>
      </w:pPr>
      <w:r>
        <w:rPr>
          <w:rFonts w:ascii="SimSun" w:hAnsi="SimSun"/>
          <w:b w:val="false"/>
          <w:i w:val="false"/>
          <w:color w:val="000000"/>
          <w:sz w:val="21"/>
        </w:rPr>
        <w:t>2.科研体系</w:t>
      </w:r>
    </w:p>
    <w:p>
      <w:pPr>
        <w:spacing w:after="0"/>
        <w:ind w:left="0"/>
        <w:jc w:val="left"/>
      </w:pPr>
      <w:r>
        <w:rPr>
          <w:rFonts w:ascii="SimSun" w:hAnsi="SimSun"/>
          <w:b w:val="false"/>
          <w:i w:val="false"/>
          <w:color w:val="000000"/>
          <w:sz w:val="21"/>
        </w:rPr>
        <w:t>建立螺旋递进的全周期科研训练体系，给低年级本科生配备学业导师，鼓励师生共创，通过复芏计划（FDUROP）等项目引导学生在“做中学、学中悟、悟中创”。通过科技考古实验训练、田野考古提升训练、文物保护实验训练等，引导学生早参加科研课题，培育学术兴趣，激发创新志趣。</w:t>
      </w:r>
    </w:p>
    <w:p>
      <w:pPr>
        <w:spacing w:after="0"/>
        <w:ind w:left="0"/>
        <w:jc w:val="left"/>
      </w:pPr>
    </w:p>
    <w:p>
      <w:pPr>
        <w:spacing w:after="0"/>
        <w:ind w:left="0"/>
        <w:jc w:val="left"/>
      </w:pPr>
      <w:r>
        <w:rPr>
          <w:rFonts w:ascii="SimSun" w:hAnsi="SimSun"/>
          <w:b/>
          <w:i w:val="false"/>
          <w:color w:val="000000"/>
          <w:sz w:val="24"/>
        </w:rPr>
        <w:t xml:space="preserve">
       八.    课程设置与修读要求
      </w:t>
      </w:r>
    </w:p>
    <w:p>
      <w:pPr>
        <w:spacing w:after="0"/>
        <w:ind w:left="0"/>
        <w:jc w:val="left"/>
      </w:pPr>
    </w:p>
    <w:p>
      <w:pPr>
        <w:spacing w:after="0"/>
        <w:ind w:left="0"/>
        <w:jc w:val="left"/>
      </w:pPr>
      <w:r>
        <w:rPr>
          <w:rFonts w:ascii="SimSun" w:hAnsi="SimSun"/>
          <w:b/>
          <w:i w:val="false"/>
          <w:color w:val="000000"/>
          <w:sz w:val="21"/>
        </w:rPr>
        <w:t xml:space="preserve">
       </w:t>
      </w:r>
      <w:r>
        <w:rPr>
          <w:rFonts w:ascii="SimSun" w:hAnsi="SimSun"/>
          <w:b/>
          <w:i w:val="false"/>
          <w:color w:val="000000"/>
          <w:sz w:val="21"/>
        </w:rPr>
        <w:t>(一) 通识教育课程</w:t>
      </w:r>
      <w:r>
        <w:rPr>
          <w:rFonts w:ascii="SimSun" w:hAnsi="SimSun"/>
          <w:b/>
          <w:i w:val="false"/>
          <w:color w:val="000000"/>
          <w:sz w:val="21"/>
        </w:rPr>
        <w:t>（46学分,本科要求44学分）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通识教育课程包括通识教育核心课程和专项教育课程。
      </w:t>
      </w:r>
    </w:p>
    <w:p>
      <w:pPr>
        <w:spacing w:after="0"/>
        <w:ind w:left="0"/>
        <w:jc w:val="left"/>
      </w:pPr>
      <w:r>
        <w:rPr>
          <w:rFonts w:ascii="SimSun" w:hAnsi="SimSun"/>
          <w:b/>
          <w:i w:val="false"/>
          <w:color w:val="000000"/>
          <w:sz w:val="21"/>
        </w:rPr>
        <w:t xml:space="preserve">
       </w:t>
      </w:r>
      <w:r>
        <w:rPr>
          <w:rFonts w:ascii="SimSun" w:hAnsi="SimSun"/>
          <w:b/>
          <w:i w:val="false"/>
          <w:color w:val="000000"/>
          <w:sz w:val="21"/>
        </w:rPr>
        <w:t>1.  通识教育核心课程</w:t>
      </w:r>
      <w:r>
        <w:rPr>
          <w:rFonts w:ascii="SimSun" w:hAnsi="SimSun"/>
          <w:b/>
          <w:i w:val="false"/>
          <w:color w:val="000000"/>
          <w:sz w:val="21"/>
        </w:rPr>
        <w:t>（30学分,本科要求28学分）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要求修读30学分，含思想政治理论课21学分（其中研究生学位课2学分），七大模块课程8学分（每模块最多修读1门课程），大学生国家安全教育1学分。
      </w:t>
      </w:r>
    </w:p>
    <w:p>
      <w:pPr>
        <w:spacing w:after="0"/>
        <w:ind w:left="0"/>
        <w:jc w:val="left"/>
      </w:pPr>
      <w:r>
        <w:rPr>
          <w:rFonts w:ascii="SimSun" w:hAnsi="SimSun"/>
          <w:b/>
          <w:i w:val="false"/>
          <w:color w:val="000000"/>
          <w:sz w:val="21"/>
        </w:rPr>
        <w:t xml:space="preserve">
       </w:t>
      </w:r>
      <w:r>
        <w:rPr>
          <w:rFonts w:ascii="SimSun" w:hAnsi="SimSun"/>
          <w:b/>
          <w:i w:val="false"/>
          <w:color w:val="000000"/>
          <w:sz w:val="21"/>
        </w:rPr>
        <w:t>2.  通识教育专项教育课程</w:t>
      </w:r>
      <w:r>
        <w:rPr>
          <w:rFonts w:ascii="SimSun" w:hAnsi="SimSun"/>
          <w:b/>
          <w:i w:val="false"/>
          <w:color w:val="000000"/>
          <w:sz w:val="21"/>
        </w:rPr>
        <w:t>（16学分,本科要求16学分）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要求修读16学分， 课程设置详见专项教育课程（其中，人工智能教学专项修读B1类课程3学分）。
      </w:t>
      </w:r>
    </w:p>
    <w:p>
      <w:pPr>
        <w:spacing w:after="0"/>
        <w:ind w:left="0"/>
        <w:jc w:val="left"/>
      </w:pPr>
      <w:r>
        <w:rPr>
          <w:rFonts w:ascii="SimSun" w:hAnsi="SimSun"/>
          <w:b/>
          <w:i w:val="false"/>
          <w:color w:val="000000"/>
          <w:sz w:val="21"/>
        </w:rPr>
        <w:t xml:space="preserve">
       </w:t>
      </w:r>
      <w:r>
        <w:rPr>
          <w:rFonts w:ascii="SimSun" w:hAnsi="SimSun"/>
          <w:b/>
          <w:i w:val="false"/>
          <w:color w:val="000000"/>
          <w:sz w:val="21"/>
        </w:rPr>
        <w:t>(二) 专业培养课程</w:t>
      </w:r>
      <w:r>
        <w:rPr>
          <w:rFonts w:ascii="SimSun" w:hAnsi="SimSun"/>
          <w:b/>
          <w:i w:val="false"/>
          <w:color w:val="000000"/>
          <w:sz w:val="21"/>
        </w:rPr>
        <w:t>（74学分,本科要求74学分）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专业培养课程包括学科基础课程和专业核心教育课程。
      </w:t>
      </w:r>
    </w:p>
    <w:p>
      <w:pPr>
        <w:spacing w:after="0"/>
        <w:ind w:left="0"/>
        <w:jc w:val="left"/>
      </w:pPr>
      <w:r>
        <w:rPr>
          <w:rFonts w:ascii="SimSun" w:hAnsi="SimSun"/>
          <w:b/>
          <w:i w:val="false"/>
          <w:color w:val="000000"/>
          <w:sz w:val="21"/>
        </w:rPr>
        <w:t xml:space="preserve">
       </w:t>
      </w:r>
      <w:r>
        <w:rPr>
          <w:rFonts w:ascii="SimSun" w:hAnsi="SimSun"/>
          <w:b/>
          <w:i w:val="false"/>
          <w:color w:val="000000"/>
          <w:sz w:val="21"/>
        </w:rPr>
        <w:t>1.  学科基础课程</w:t>
      </w:r>
      <w:r>
        <w:rPr>
          <w:rFonts w:ascii="SimSun" w:hAnsi="SimSun"/>
          <w:b/>
          <w:i w:val="false"/>
          <w:color w:val="000000"/>
          <w:sz w:val="21"/>
        </w:rPr>
        <w:t>（27学分,本科要求27学分）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194"/>
        <w:gridCol w:w="798"/>
        <w:gridCol w:w="798"/>
        <w:gridCol w:w="1117"/>
        <w:gridCol w:w="1819"/>
        <w:gridCol w:w="798"/>
        <w:gridCol w:w="798"/>
        <w:gridCol w:w="798"/>
        <w:gridCol w:w="798"/>
        <w:gridCol w:w="1118"/>
        <w:gridCol w:w="1598"/>
      </w:tblGrid>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考古学导论</w:t>
            </w:r>
            <w:r>
              <w:br/>
            </w:r>
            <w:r>
              <w:br/>
            </w:r>
            <w:r>
              <w:rPr>
                <w:rFonts w:ascii="SimSun" w:hAnsi="SimSun"/>
                <w:b w:val="false"/>
                <w:i w:val="false"/>
                <w:color w:val="000000"/>
                <w:sz w:val="21"/>
              </w:rPr>
              <w:t>Introduction to Archaeology</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ARCH10001</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0.1</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高等数学B(上）</w:t>
            </w:r>
            <w:r>
              <w:br/>
            </w:r>
            <w:r>
              <w:br/>
            </w:r>
            <w:r>
              <w:rPr>
                <w:rFonts w:ascii="SimSun" w:hAnsi="SimSun"/>
                <w:b w:val="false"/>
                <w:i w:val="false"/>
                <w:color w:val="000000"/>
                <w:sz w:val="21"/>
              </w:rPr>
              <w:t>Advanced Mathematics B I</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108</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MATH10004</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0.4</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高等数学B(下）</w:t>
            </w:r>
            <w:r>
              <w:br/>
            </w:r>
            <w:r>
              <w:br/>
            </w:r>
            <w:r>
              <w:rPr>
                <w:rFonts w:ascii="SimSun" w:hAnsi="SimSun"/>
                <w:b w:val="false"/>
                <w:i w:val="false"/>
                <w:color w:val="000000"/>
                <w:sz w:val="21"/>
              </w:rPr>
              <w:t>Advanced Mathematics B II</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108</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MATH10005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0.4</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普通物理B</w:t>
            </w:r>
            <w:r>
              <w:br/>
            </w:r>
            <w:r>
              <w:br/>
            </w:r>
            <w:r>
              <w:rPr>
                <w:rFonts w:ascii="SimSun" w:hAnsi="SimSun"/>
                <w:b w:val="false"/>
                <w:i w:val="false"/>
                <w:color w:val="000000"/>
                <w:sz w:val="21"/>
              </w:rPr>
              <w:t>General Physics B</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PHYS10002</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普通化学C</w:t>
            </w:r>
            <w:r>
              <w:br/>
            </w:r>
            <w:r>
              <w:br/>
            </w:r>
            <w:r>
              <w:rPr>
                <w:rFonts w:ascii="SimSun" w:hAnsi="SimSun"/>
                <w:b w:val="false"/>
                <w:i w:val="false"/>
                <w:color w:val="000000"/>
                <w:sz w:val="21"/>
              </w:rPr>
              <w:t>General Chemistry C</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CHEM10008</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有机化学C</w:t>
            </w:r>
            <w:r>
              <w:br/>
            </w:r>
            <w:r>
              <w:br/>
            </w:r>
            <w:r>
              <w:rPr>
                <w:rFonts w:ascii="SimSun" w:hAnsi="SimSun"/>
                <w:b w:val="false"/>
                <w:i w:val="false"/>
                <w:color w:val="000000"/>
                <w:sz w:val="21"/>
              </w:rPr>
              <w:t>Organic Chemistry C</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CHEM10007</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程序设计</w:t>
            </w:r>
            <w:r>
              <w:br/>
            </w:r>
            <w:r>
              <w:br/>
            </w:r>
            <w:r>
              <w:rPr>
                <w:rFonts w:ascii="SimSun" w:hAnsi="SimSun"/>
                <w:b w:val="false"/>
                <w:i w:val="false"/>
                <w:color w:val="000000"/>
                <w:sz w:val="21"/>
              </w:rPr>
              <w:t>Programming</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90</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CS10004</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现代生物科学导论C</w:t>
            </w:r>
            <w:r>
              <w:br/>
            </w:r>
            <w:r>
              <w:br/>
            </w:r>
            <w:r>
              <w:rPr>
                <w:rFonts w:ascii="SimSun" w:hAnsi="SimSun"/>
                <w:b w:val="false"/>
                <w:i w:val="false"/>
                <w:color w:val="000000"/>
                <w:sz w:val="21"/>
              </w:rPr>
              <w:t>Introduction to Modern Biological Science C</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BIOL10002</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2.  专业核心教育课程</w:t>
      </w:r>
      <w:r>
        <w:rPr>
          <w:rFonts w:ascii="SimSun" w:hAnsi="SimSun"/>
          <w:b/>
          <w:i w:val="false"/>
          <w:color w:val="000000"/>
          <w:sz w:val="21"/>
        </w:rPr>
        <w:t>（47学分,本科要求47学分）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171"/>
        <w:gridCol w:w="792"/>
        <w:gridCol w:w="792"/>
        <w:gridCol w:w="1110"/>
        <w:gridCol w:w="1901"/>
        <w:gridCol w:w="792"/>
        <w:gridCol w:w="792"/>
        <w:gridCol w:w="793"/>
        <w:gridCol w:w="793"/>
        <w:gridCol w:w="1110"/>
        <w:gridCol w:w="1588"/>
      </w:tblGrid>
      <w:tr>
        <w:trPr>
          <w:trHeight w:val="45" w:hRule="atLeast"/>
        </w:trPr>
        <w:tc>
          <w:tcPr>
            <w:tcW w:w="317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79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79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9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79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79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588"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17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中国古代史</w:t>
            </w:r>
            <w:r>
              <w:br/>
            </w:r>
            <w:r>
              <w:br/>
            </w:r>
            <w:r>
              <w:rPr>
                <w:rFonts w:ascii="SimSun" w:hAnsi="SimSun"/>
                <w:b w:val="false"/>
                <w:i w:val="false"/>
                <w:color w:val="000000"/>
                <w:sz w:val="21"/>
              </w:rPr>
              <w:t>The History of Ancient China</w:t>
            </w:r>
          </w:p>
        </w:tc>
        <w:tc>
          <w:tcPr>
            <w:tcW w:w="79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9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9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ARCH20013</w:t>
            </w:r>
          </w:p>
        </w:tc>
        <w:tc>
          <w:tcPr>
            <w:tcW w:w="79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11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8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科技考古导论（H）</w:t>
            </w:r>
            <w:r>
              <w:br/>
            </w:r>
            <w:r>
              <w:br/>
            </w:r>
            <w:r>
              <w:rPr>
                <w:rFonts w:ascii="SimSun" w:hAnsi="SimSun"/>
                <w:b w:val="false"/>
                <w:i w:val="false"/>
                <w:color w:val="000000"/>
                <w:sz w:val="21"/>
              </w:rPr>
              <w:t>Introduction to Archaeological Science(H)</w:t>
            </w:r>
          </w:p>
        </w:tc>
        <w:tc>
          <w:tcPr>
            <w:tcW w:w="79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9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9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ARCH20010h</w:t>
            </w:r>
          </w:p>
        </w:tc>
        <w:tc>
          <w:tcPr>
            <w:tcW w:w="79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0.6</w:t>
            </w:r>
          </w:p>
        </w:tc>
        <w:tc>
          <w:tcPr>
            <w:tcW w:w="79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11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8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旧石器时代考古</w:t>
            </w:r>
            <w:r>
              <w:br/>
            </w:r>
            <w:r>
              <w:br/>
            </w:r>
            <w:r>
              <w:rPr>
                <w:rFonts w:ascii="SimSun" w:hAnsi="SimSun"/>
                <w:b w:val="false"/>
                <w:i w:val="false"/>
                <w:color w:val="000000"/>
                <w:sz w:val="21"/>
              </w:rPr>
              <w:t>Paleolithic Archaeology</w:t>
            </w:r>
          </w:p>
        </w:tc>
        <w:tc>
          <w:tcPr>
            <w:tcW w:w="79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9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ARCH20006</w:t>
            </w:r>
          </w:p>
        </w:tc>
        <w:tc>
          <w:tcPr>
            <w:tcW w:w="79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1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8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新石器时代考古</w:t>
            </w:r>
            <w:r>
              <w:br/>
            </w:r>
            <w:r>
              <w:br/>
            </w:r>
            <w:r>
              <w:rPr>
                <w:rFonts w:ascii="SimSun" w:hAnsi="SimSun"/>
                <w:b w:val="false"/>
                <w:i w:val="false"/>
                <w:color w:val="000000"/>
                <w:sz w:val="21"/>
              </w:rPr>
              <w:t>Neolithic Archaeology</w:t>
            </w:r>
          </w:p>
        </w:tc>
        <w:tc>
          <w:tcPr>
            <w:tcW w:w="79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9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ARCH20007</w:t>
            </w:r>
          </w:p>
        </w:tc>
        <w:tc>
          <w:tcPr>
            <w:tcW w:w="79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1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8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文物保护基础</w:t>
            </w:r>
            <w:r>
              <w:br/>
            </w:r>
            <w:r>
              <w:br/>
            </w:r>
            <w:r>
              <w:rPr>
                <w:rFonts w:ascii="SimSun" w:hAnsi="SimSun"/>
                <w:b w:val="false"/>
                <w:i w:val="false"/>
                <w:color w:val="000000"/>
                <w:sz w:val="21"/>
              </w:rPr>
              <w:t>Basics of Cultural Relic Conservation</w:t>
            </w:r>
          </w:p>
        </w:tc>
        <w:tc>
          <w:tcPr>
            <w:tcW w:w="79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9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CULT20001</w:t>
            </w:r>
          </w:p>
        </w:tc>
        <w:tc>
          <w:tcPr>
            <w:tcW w:w="79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1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8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夏商周考古</w:t>
            </w:r>
            <w:r>
              <w:br/>
            </w:r>
            <w:r>
              <w:br/>
            </w:r>
            <w:r>
              <w:rPr>
                <w:rFonts w:ascii="SimSun" w:hAnsi="SimSun"/>
                <w:b w:val="false"/>
                <w:i w:val="false"/>
                <w:color w:val="000000"/>
                <w:sz w:val="21"/>
              </w:rPr>
              <w:t>Archaeology of Xia, Shang and Zhou Dynasties</w:t>
            </w:r>
          </w:p>
        </w:tc>
        <w:tc>
          <w:tcPr>
            <w:tcW w:w="79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9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ARCH20005</w:t>
            </w:r>
          </w:p>
        </w:tc>
        <w:tc>
          <w:tcPr>
            <w:tcW w:w="79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8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汉唐考古</w:t>
            </w:r>
            <w:r>
              <w:br/>
            </w:r>
            <w:r>
              <w:br/>
            </w:r>
            <w:r>
              <w:rPr>
                <w:rFonts w:ascii="SimSun" w:hAnsi="SimSun"/>
                <w:b w:val="false"/>
                <w:i w:val="false"/>
                <w:color w:val="000000"/>
                <w:sz w:val="21"/>
              </w:rPr>
              <w:t>Archaeology of Han and Tang Dynasties</w:t>
            </w:r>
          </w:p>
        </w:tc>
        <w:tc>
          <w:tcPr>
            <w:tcW w:w="79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9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ARCH20002</w:t>
            </w:r>
          </w:p>
        </w:tc>
        <w:tc>
          <w:tcPr>
            <w:tcW w:w="79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8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田野考古学</w:t>
            </w:r>
            <w:r>
              <w:br/>
            </w:r>
            <w:r>
              <w:br/>
            </w:r>
            <w:r>
              <w:rPr>
                <w:rFonts w:ascii="SimSun" w:hAnsi="SimSun"/>
                <w:b w:val="false"/>
                <w:i w:val="false"/>
                <w:color w:val="000000"/>
                <w:sz w:val="21"/>
              </w:rPr>
              <w:t>Field Archaeology</w:t>
            </w:r>
          </w:p>
        </w:tc>
        <w:tc>
          <w:tcPr>
            <w:tcW w:w="79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9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ARCH20008</w:t>
            </w:r>
          </w:p>
        </w:tc>
        <w:tc>
          <w:tcPr>
            <w:tcW w:w="79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8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宋元明考古</w:t>
            </w:r>
            <w:r>
              <w:br/>
            </w:r>
            <w:r>
              <w:br/>
            </w:r>
            <w:r>
              <w:rPr>
                <w:rFonts w:ascii="SimSun" w:hAnsi="SimSun"/>
                <w:b w:val="false"/>
                <w:i w:val="false"/>
                <w:color w:val="000000"/>
                <w:sz w:val="21"/>
              </w:rPr>
              <w:t>Archaeology of Song, Yuan and Ming Dynasties</w:t>
            </w:r>
          </w:p>
        </w:tc>
        <w:tc>
          <w:tcPr>
            <w:tcW w:w="79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9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ARCH20004</w:t>
            </w:r>
          </w:p>
        </w:tc>
        <w:tc>
          <w:tcPr>
            <w:tcW w:w="79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8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AI考古理论与实践</w:t>
            </w:r>
            <w:r>
              <w:br/>
            </w:r>
            <w:r>
              <w:br/>
            </w:r>
            <w:r>
              <w:rPr>
                <w:rFonts w:ascii="SimSun" w:hAnsi="SimSun"/>
                <w:b w:val="false"/>
                <w:i w:val="false"/>
                <w:color w:val="000000"/>
                <w:sz w:val="21"/>
              </w:rPr>
              <w:t>Theoretical and Practical Applications of AI Archaeology</w:t>
            </w:r>
          </w:p>
        </w:tc>
        <w:tc>
          <w:tcPr>
            <w:tcW w:w="79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9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ARCH20003</w:t>
            </w:r>
          </w:p>
        </w:tc>
        <w:tc>
          <w:tcPr>
            <w:tcW w:w="79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8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田野考古技术</w:t>
            </w:r>
            <w:r>
              <w:br/>
            </w:r>
            <w:r>
              <w:br/>
            </w:r>
            <w:r>
              <w:rPr>
                <w:rFonts w:ascii="SimSun" w:hAnsi="SimSun"/>
                <w:b w:val="false"/>
                <w:i w:val="false"/>
                <w:color w:val="000000"/>
                <w:sz w:val="21"/>
              </w:rPr>
              <w:t>Field Archaeological Skills</w:t>
            </w:r>
          </w:p>
        </w:tc>
        <w:tc>
          <w:tcPr>
            <w:tcW w:w="79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9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ARCH20017</w:t>
            </w:r>
          </w:p>
        </w:tc>
        <w:tc>
          <w:tcPr>
            <w:tcW w:w="79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1.5</w:t>
            </w:r>
          </w:p>
        </w:tc>
        <w:tc>
          <w:tcPr>
            <w:tcW w:w="79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8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田野考古实践教学</w:t>
            </w:r>
            <w:r>
              <w:br/>
            </w:r>
            <w:r>
              <w:br/>
            </w:r>
            <w:r>
              <w:rPr>
                <w:rFonts w:ascii="SimSun" w:hAnsi="SimSun"/>
                <w:b w:val="false"/>
                <w:i w:val="false"/>
                <w:color w:val="000000"/>
                <w:sz w:val="21"/>
              </w:rPr>
              <w:t>Field Archaeology Practice</w:t>
            </w:r>
          </w:p>
        </w:tc>
        <w:tc>
          <w:tcPr>
            <w:tcW w:w="79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12</w:t>
            </w:r>
          </w:p>
        </w:tc>
        <w:tc>
          <w:tcPr>
            <w:tcW w:w="79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216</w:t>
            </w:r>
          </w:p>
        </w:tc>
        <w:tc>
          <w:tcPr>
            <w:tcW w:w="11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9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ARCH30002</w:t>
            </w:r>
          </w:p>
        </w:tc>
        <w:tc>
          <w:tcPr>
            <w:tcW w:w="79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12</w:t>
            </w:r>
          </w:p>
        </w:tc>
        <w:tc>
          <w:tcPr>
            <w:tcW w:w="79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48</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8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考古统计学</w:t>
            </w:r>
            <w:r>
              <w:br/>
            </w:r>
            <w:r>
              <w:br/>
            </w:r>
            <w:r>
              <w:rPr>
                <w:rFonts w:ascii="SimSun" w:hAnsi="SimSun"/>
                <w:b w:val="false"/>
                <w:i w:val="false"/>
                <w:color w:val="000000"/>
                <w:sz w:val="21"/>
              </w:rPr>
              <w:t>Archaeological Statistics</w:t>
            </w:r>
          </w:p>
        </w:tc>
        <w:tc>
          <w:tcPr>
            <w:tcW w:w="79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90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ARCH30005</w:t>
            </w:r>
          </w:p>
        </w:tc>
        <w:tc>
          <w:tcPr>
            <w:tcW w:w="79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0.2</w:t>
            </w:r>
          </w:p>
        </w:tc>
        <w:tc>
          <w:tcPr>
            <w:tcW w:w="79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88"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(三) 多元发展课程</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包括本研融通专业进阶路径（含荣誉项目）、跨学科发展（含辅修学士学位路径）和创新创业等不同路径，要求在院系专业导师指导下选择一条发展路径，按路径要求修读课程。
      </w:t>
      </w:r>
    </w:p>
    <w:p>
      <w:pPr>
        <w:spacing w:after="0"/>
        <w:ind w:left="0"/>
        <w:jc w:val="left"/>
      </w:pPr>
      <w:r>
        <w:rPr>
          <w:rFonts w:ascii="SimSun" w:hAnsi="SimSun"/>
          <w:b/>
          <w:i w:val="false"/>
          <w:color w:val="000000"/>
          <w:sz w:val="21"/>
        </w:rPr>
        <w:t xml:space="preserve">
       </w:t>
      </w:r>
      <w:r>
        <w:rPr>
          <w:rFonts w:ascii="SimSun" w:hAnsi="SimSun"/>
          <w:b/>
          <w:i w:val="false"/>
          <w:color w:val="000000"/>
          <w:sz w:val="21"/>
        </w:rPr>
        <w:t>1.  专业进阶路径</w:t>
      </w:r>
      <w:r>
        <w:rPr>
          <w:rFonts w:ascii="SimSun" w:hAnsi="SimSun"/>
          <w:b/>
          <w:i w:val="false"/>
          <w:color w:val="000000"/>
          <w:sz w:val="21"/>
        </w:rPr>
        <w:t>（30学分）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修满30学分。要求在专业进阶模块I修读20学分（研究生课程不少于10学分）、专业进阶模块II修读10学分。
      </w:t>
      </w:r>
    </w:p>
    <w:p>
      <w:pPr>
        <w:spacing w:after="0"/>
        <w:ind w:left="0"/>
        <w:jc w:val="left"/>
      </w:pPr>
      <w:r>
        <w:rPr>
          <w:rFonts w:ascii="SimSun" w:hAnsi="SimSun"/>
          <w:b/>
          <w:i w:val="false"/>
          <w:color w:val="000000"/>
          <w:sz w:val="21"/>
        </w:rPr>
        <w:t xml:space="preserve">
       </w:t>
      </w:r>
      <w:r>
        <w:rPr>
          <w:rFonts w:ascii="SimSun" w:hAnsi="SimSun"/>
          <w:b/>
          <w:i w:val="false"/>
          <w:color w:val="000000"/>
          <w:sz w:val="21"/>
        </w:rPr>
        <w:t>(1) 专业进阶模块I</w:t>
      </w:r>
      <w:r>
        <w:rPr>
          <w:rFonts w:ascii="SimSun" w:hAnsi="SimSun"/>
          <w:b/>
          <w:i w:val="false"/>
          <w:color w:val="000000"/>
          <w:sz w:val="21"/>
        </w:rPr>
        <w:t>（20学分,本科要求15学分）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1）专业进阶模块I（20学分），本科学段需在“专业进阶模块I”修满15学分，其中本科课程至少10学分。整个本博融通培养阶段，需在“专业进阶模块I”修读满20学分，其中研究生课程10学分（参照建议修读学期必修）。
      </w:t>
      </w:r>
    </w:p>
    <w:tbl>
      <w:tblPr>
        <w:tblW w:w="0" w:type="auto"/>
        <w:tblCellSpacing w:w="0" w:type="auto"/>
        <w:tblBorders>
          <w:top w:val="none"/>
          <w:left w:val="none"/>
          <w:bottom w:val="none"/>
          <w:right w:val="none"/>
          <w:insideH w:val="none"/>
          <w:insideV w:val="none"/>
        </w:tblBorders>
      </w:tblPr>
      <w:tblGrid>
        <w:gridCol w:w="3205"/>
        <w:gridCol w:w="800"/>
        <w:gridCol w:w="800"/>
        <w:gridCol w:w="1122"/>
        <w:gridCol w:w="1778"/>
        <w:gridCol w:w="801"/>
        <w:gridCol w:w="801"/>
        <w:gridCol w:w="801"/>
        <w:gridCol w:w="801"/>
        <w:gridCol w:w="1122"/>
        <w:gridCol w:w="1603"/>
      </w:tblGrid>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考古学思想史</w:t>
            </w:r>
            <w:r>
              <w:br/>
            </w:r>
            <w:r>
              <w:br/>
            </w:r>
            <w:r>
              <w:rPr>
                <w:rFonts w:ascii="SimSun" w:hAnsi="SimSun"/>
                <w:b w:val="false"/>
                <w:i w:val="false"/>
                <w:color w:val="000000"/>
                <w:sz w:val="21"/>
              </w:rPr>
              <w:t>History of Archaeological Thought</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ARCH30007</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动物考古学</w:t>
            </w:r>
            <w:r>
              <w:br/>
            </w:r>
            <w:r>
              <w:br/>
            </w:r>
            <w:r>
              <w:rPr>
                <w:rFonts w:ascii="SimSun" w:hAnsi="SimSun"/>
                <w:b w:val="false"/>
                <w:i w:val="false"/>
                <w:color w:val="000000"/>
                <w:sz w:val="21"/>
              </w:rPr>
              <w:t>Zooarchaeology</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ARCH30011</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植物考古学</w:t>
            </w:r>
            <w:r>
              <w:br/>
            </w:r>
            <w:r>
              <w:br/>
            </w:r>
            <w:r>
              <w:rPr>
                <w:rFonts w:ascii="SimSun" w:hAnsi="SimSun"/>
                <w:b w:val="false"/>
                <w:i w:val="false"/>
                <w:color w:val="000000"/>
                <w:sz w:val="21"/>
              </w:rPr>
              <w:t>Palaeoethnobotany</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ARCH30012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0.1</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陶瓷考古</w:t>
            </w:r>
            <w:r>
              <w:br/>
            </w:r>
            <w:r>
              <w:br/>
            </w:r>
            <w:r>
              <w:rPr>
                <w:rFonts w:ascii="SimSun" w:hAnsi="SimSun"/>
                <w:b w:val="false"/>
                <w:i w:val="false"/>
                <w:color w:val="000000"/>
                <w:sz w:val="21"/>
              </w:rPr>
              <w:t>Ceramic Archaeology</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ARCH30013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0.1</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海上丝绸之路考古概论</w:t>
            </w:r>
            <w:r>
              <w:br/>
            </w:r>
            <w:r>
              <w:br/>
            </w:r>
            <w:r>
              <w:rPr>
                <w:rFonts w:ascii="SimSun" w:hAnsi="SimSun"/>
                <w:b w:val="false"/>
                <w:i w:val="false"/>
                <w:color w:val="000000"/>
                <w:sz w:val="21"/>
              </w:rPr>
              <w:t>Introduction to Maritime Silkroad Archaeology</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ARCH40005</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0.1</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水下考古学导论</w:t>
            </w:r>
            <w:r>
              <w:br/>
            </w:r>
            <w:r>
              <w:br/>
            </w:r>
            <w:r>
              <w:rPr>
                <w:rFonts w:ascii="SimSun" w:hAnsi="SimSun"/>
                <w:b w:val="false"/>
                <w:i w:val="false"/>
                <w:color w:val="000000"/>
                <w:sz w:val="21"/>
              </w:rPr>
              <w:t>Introduction to Underwater Archaeology</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ARCH40006</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分子考古学</w:t>
            </w:r>
            <w:r>
              <w:br/>
            </w:r>
            <w:r>
              <w:br/>
            </w:r>
            <w:r>
              <w:rPr>
                <w:rFonts w:ascii="SimSun" w:hAnsi="SimSun"/>
                <w:b w:val="false"/>
                <w:i w:val="false"/>
                <w:color w:val="000000"/>
                <w:sz w:val="21"/>
              </w:rPr>
              <w:t>Molecular Archaeology</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ARCH40007</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0.4</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体质人类学</w:t>
            </w:r>
            <w:r>
              <w:br/>
            </w:r>
            <w:r>
              <w:br/>
            </w:r>
            <w:r>
              <w:rPr>
                <w:rFonts w:ascii="SimSun" w:hAnsi="SimSun"/>
                <w:b w:val="false"/>
                <w:i w:val="false"/>
                <w:color w:val="000000"/>
                <w:sz w:val="21"/>
              </w:rPr>
              <w:t>Physical Anthropology</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ARCH20001</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同位素考古</w:t>
            </w:r>
            <w:r>
              <w:br/>
            </w:r>
            <w:r>
              <w:br/>
            </w:r>
            <w:r>
              <w:rPr>
                <w:rFonts w:ascii="SimSun" w:hAnsi="SimSun"/>
                <w:b w:val="false"/>
                <w:i w:val="false"/>
                <w:color w:val="000000"/>
                <w:sz w:val="21"/>
              </w:rPr>
              <w:t>Isotope Archaeology</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ARCH50003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农业考古</w:t>
            </w:r>
            <w:r>
              <w:br/>
            </w:r>
            <w:r>
              <w:br/>
            </w:r>
            <w:r>
              <w:rPr>
                <w:rFonts w:ascii="SimSun" w:hAnsi="SimSun"/>
                <w:b w:val="false"/>
                <w:i w:val="false"/>
                <w:color w:val="000000"/>
                <w:sz w:val="21"/>
              </w:rPr>
              <w:t>Agricultural Archaeology</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ARCH50001</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石窟寺考古</w:t>
            </w:r>
            <w:r>
              <w:br/>
            </w:r>
            <w:r>
              <w:br/>
            </w:r>
            <w:r>
              <w:rPr>
                <w:rFonts w:ascii="SimSun" w:hAnsi="SimSun"/>
                <w:b w:val="false"/>
                <w:i w:val="false"/>
                <w:color w:val="000000"/>
                <w:sz w:val="21"/>
              </w:rPr>
              <w:t>Grotto Archaeology</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ARCH40002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世界考古概论</w:t>
            </w:r>
            <w:r>
              <w:br/>
            </w:r>
            <w:r>
              <w:br/>
            </w:r>
            <w:r>
              <w:rPr>
                <w:rFonts w:ascii="SimSun" w:hAnsi="SimSun"/>
                <w:b w:val="false"/>
                <w:i w:val="false"/>
                <w:color w:val="000000"/>
                <w:sz w:val="21"/>
              </w:rPr>
              <w:t>Introduction to World Archaeology</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ARCH30001</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公众考古</w:t>
            </w:r>
            <w:r>
              <w:br/>
            </w:r>
            <w:r>
              <w:br/>
            </w:r>
            <w:r>
              <w:rPr>
                <w:rFonts w:ascii="SimSun" w:hAnsi="SimSun"/>
                <w:b w:val="false"/>
                <w:i w:val="false"/>
                <w:color w:val="000000"/>
                <w:sz w:val="21"/>
              </w:rPr>
              <w:t>Public Archaeology</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ARCH50002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冶金考古</w:t>
            </w:r>
            <w:r>
              <w:br/>
            </w:r>
            <w:r>
              <w:br/>
            </w:r>
            <w:r>
              <w:rPr>
                <w:rFonts w:ascii="SimSun" w:hAnsi="SimSun"/>
                <w:b w:val="false"/>
                <w:i w:val="false"/>
                <w:color w:val="000000"/>
                <w:sz w:val="21"/>
              </w:rPr>
              <w:t>Archaeometallurgy</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ARCH40001</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环境考古学</w:t>
            </w:r>
            <w:r>
              <w:br/>
            </w:r>
            <w:r>
              <w:br/>
            </w:r>
            <w:r>
              <w:rPr>
                <w:rFonts w:ascii="SimSun" w:hAnsi="SimSun"/>
                <w:b w:val="false"/>
                <w:i w:val="false"/>
                <w:color w:val="000000"/>
                <w:sz w:val="21"/>
              </w:rPr>
              <w:t>Environmental Archaeology</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ARCH30003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0.1</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古人类学</w:t>
            </w:r>
            <w:r>
              <w:br/>
            </w:r>
            <w:r>
              <w:br/>
            </w:r>
            <w:r>
              <w:rPr>
                <w:rFonts w:ascii="SimSun" w:hAnsi="SimSun"/>
                <w:b w:val="false"/>
                <w:i w:val="false"/>
                <w:color w:val="000000"/>
                <w:sz w:val="21"/>
              </w:rPr>
              <w:t>Paleoanthropology</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ARCH30004</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博物馆学概论</w:t>
            </w:r>
            <w:r>
              <w:br/>
            </w:r>
            <w:r>
              <w:br/>
            </w:r>
            <w:r>
              <w:rPr>
                <w:rFonts w:ascii="SimSun" w:hAnsi="SimSun"/>
                <w:b w:val="false"/>
                <w:i w:val="false"/>
                <w:color w:val="000000"/>
                <w:sz w:val="21"/>
              </w:rPr>
              <w:t>Introduction to Museology</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MUSE20001</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0.1</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文化遗产导论</w:t>
            </w:r>
            <w:r>
              <w:br/>
            </w:r>
            <w:r>
              <w:br/>
            </w:r>
            <w:r>
              <w:rPr>
                <w:rFonts w:ascii="SimSun" w:hAnsi="SimSun"/>
                <w:b w:val="false"/>
                <w:i w:val="false"/>
                <w:color w:val="000000"/>
                <w:sz w:val="21"/>
              </w:rPr>
              <w:t>Introduction to Cultural Heritage</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CULT20002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0.1</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文物研究导论</w:t>
            </w:r>
            <w:r>
              <w:br/>
            </w:r>
            <w:r>
              <w:br/>
            </w:r>
            <w:r>
              <w:rPr>
                <w:rFonts w:ascii="SimSun" w:hAnsi="SimSun"/>
                <w:b w:val="false"/>
                <w:i w:val="false"/>
                <w:color w:val="000000"/>
                <w:sz w:val="21"/>
              </w:rPr>
              <w:t>Introduction to the Study of Cultural Relics</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CULT20005</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中国古代建筑史</w:t>
            </w:r>
            <w:r>
              <w:br/>
            </w:r>
            <w:r>
              <w:br/>
            </w:r>
            <w:r>
              <w:rPr>
                <w:rFonts w:ascii="SimSun" w:hAnsi="SimSun"/>
                <w:b w:val="false"/>
                <w:i w:val="false"/>
                <w:color w:val="000000"/>
                <w:sz w:val="21"/>
              </w:rPr>
              <w:t>History of Architectural Development in Ancient China</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CULT30007</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中国美术考古</w:t>
            </w:r>
            <w:r>
              <w:br/>
            </w:r>
            <w:r>
              <w:br/>
            </w:r>
            <w:r>
              <w:rPr>
                <w:rFonts w:ascii="SimSun" w:hAnsi="SimSun"/>
                <w:b w:val="false"/>
                <w:i w:val="false"/>
                <w:color w:val="000000"/>
                <w:sz w:val="21"/>
              </w:rPr>
              <w:t>Chinese Art and Archaeology</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CULT30011</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中国科技史概论</w:t>
            </w:r>
            <w:r>
              <w:br/>
            </w:r>
            <w:r>
              <w:br/>
            </w:r>
            <w:r>
              <w:rPr>
                <w:rFonts w:ascii="SimSun" w:hAnsi="SimSun"/>
                <w:b w:val="false"/>
                <w:i w:val="false"/>
                <w:color w:val="000000"/>
                <w:sz w:val="21"/>
              </w:rPr>
              <w:t>Introduction to History of Science and Technology in China</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CULT30009</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文物保护技术</w:t>
            </w:r>
            <w:r>
              <w:br/>
            </w:r>
            <w:r>
              <w:br/>
            </w:r>
            <w:r>
              <w:rPr>
                <w:rFonts w:ascii="SimSun" w:hAnsi="SimSun"/>
                <w:b w:val="false"/>
                <w:i w:val="false"/>
                <w:color w:val="000000"/>
                <w:sz w:val="21"/>
              </w:rPr>
              <w:t>Techniques of Cultural Relics Conservation</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CULT30002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文物分析技术</w:t>
            </w:r>
            <w:r>
              <w:br/>
            </w:r>
            <w:r>
              <w:br/>
            </w:r>
            <w:r>
              <w:rPr>
                <w:rFonts w:ascii="SimSun" w:hAnsi="SimSun"/>
                <w:b w:val="false"/>
                <w:i w:val="false"/>
                <w:color w:val="000000"/>
                <w:sz w:val="21"/>
              </w:rPr>
              <w:t>Analyzing Techniques of Cultural Relics</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CULT30010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人工智能的编程基础</w:t>
            </w:r>
            <w:r>
              <w:br/>
            </w:r>
            <w:r>
              <w:br/>
            </w:r>
            <w:r>
              <w:rPr>
                <w:rFonts w:ascii="SimSun" w:hAnsi="SimSun"/>
                <w:b w:val="false"/>
                <w:i w:val="false"/>
                <w:color w:val="000000"/>
                <w:sz w:val="21"/>
              </w:rPr>
              <w:t>Fundamentals of Artificial Intelligence Programming</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AIE310006</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模式识别与机器学习</w:t>
            </w:r>
            <w:r>
              <w:br/>
            </w:r>
            <w:r>
              <w:br/>
            </w:r>
            <w:r>
              <w:rPr>
                <w:rFonts w:ascii="SimSun" w:hAnsi="SimSun"/>
                <w:b w:val="false"/>
                <w:i w:val="false"/>
                <w:color w:val="000000"/>
                <w:sz w:val="21"/>
              </w:rPr>
              <w:t>Pattern Recognition and Machine Learning</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AIE410001</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自然语言处理与大语言模型</w:t>
            </w:r>
            <w:r>
              <w:br/>
            </w:r>
            <w:r>
              <w:br/>
            </w:r>
            <w:r>
              <w:rPr>
                <w:rFonts w:ascii="SimSun" w:hAnsi="SimSun"/>
                <w:b w:val="false"/>
                <w:i w:val="false"/>
                <w:color w:val="000000"/>
                <w:sz w:val="21"/>
              </w:rPr>
              <w:t>Natural Language Processing and Large Language Models</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AIE410002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计算机视觉</w:t>
            </w:r>
            <w:r>
              <w:br/>
            </w:r>
            <w:r>
              <w:br/>
            </w:r>
            <w:r>
              <w:rPr>
                <w:rFonts w:ascii="SimSun" w:hAnsi="SimSun"/>
                <w:b w:val="false"/>
                <w:i w:val="false"/>
                <w:color w:val="000000"/>
                <w:sz w:val="21"/>
              </w:rPr>
              <w:t>Computer Vision</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AIE310004</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科技考古研究</w:t>
            </w:r>
            <w:r>
              <w:br/>
            </w:r>
            <w:r>
              <w:br/>
            </w:r>
            <w:r>
              <w:rPr>
                <w:rFonts w:ascii="SimSun" w:hAnsi="SimSun"/>
                <w:b w:val="false"/>
                <w:i w:val="false"/>
                <w:color w:val="000000"/>
                <w:sz w:val="21"/>
              </w:rPr>
              <w:t>Studies on archaeological sciences</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CULT50005</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7,8</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考古学理论与方法</w:t>
            </w:r>
            <w:r>
              <w:br/>
            </w:r>
            <w:r>
              <w:br/>
            </w:r>
            <w:r>
              <w:rPr>
                <w:rFonts w:ascii="SimSun" w:hAnsi="SimSun"/>
                <w:b w:val="false"/>
                <w:i w:val="false"/>
                <w:color w:val="000000"/>
                <w:sz w:val="21"/>
              </w:rPr>
              <w:t>Archaeological Theories and Methods</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ARCH60001</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7,8</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中国考古学前沿</w:t>
            </w:r>
            <w:r>
              <w:br/>
            </w:r>
            <w:r>
              <w:br/>
            </w:r>
            <w:r>
              <w:rPr>
                <w:rFonts w:ascii="SimSun" w:hAnsi="SimSun"/>
                <w:b w:val="false"/>
                <w:i w:val="false"/>
                <w:color w:val="000000"/>
                <w:sz w:val="21"/>
              </w:rPr>
              <w:t>Frontiers of Archaeological theory and practice</w:t>
            </w:r>
          </w:p>
        </w:tc>
        <w:tc>
          <w:tcPr>
            <w:tcW w:w="80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7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ARCH70009</w:t>
            </w:r>
          </w:p>
        </w:tc>
        <w:tc>
          <w:tcPr>
            <w:tcW w:w="80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9,10</w:t>
            </w:r>
          </w:p>
        </w:tc>
        <w:tc>
          <w:tcPr>
            <w:tcW w:w="112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(2) 专业进阶模块II</w:t>
      </w:r>
      <w:r>
        <w:rPr>
          <w:rFonts w:ascii="SimSun" w:hAnsi="SimSun"/>
          <w:b/>
          <w:i w:val="false"/>
          <w:color w:val="000000"/>
          <w:sz w:val="21"/>
        </w:rPr>
        <w:t>（10学分）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（2）专业进阶模块II(10学分） 研究生课程不少于10学分（参照建议修读学期选修）
      </w:t>
      </w:r>
    </w:p>
    <w:p>
      <w:pPr>
        <w:spacing w:after="0"/>
        <w:ind w:left="0"/>
        <w:jc w:val="left"/>
      </w:pPr>
      <w:r>
        <w:rPr>
          <w:rFonts w:ascii="SimSun" w:hAnsi="SimSun"/>
          <w:b/>
          <w:i w:val="false"/>
          <w:color w:val="000000"/>
          <w:sz w:val="21"/>
        </w:rPr>
        <w:t xml:space="preserve">
       </w:t>
      </w:r>
      <w:r>
        <w:rPr>
          <w:rFonts w:ascii="SimSun" w:hAnsi="SimSun"/>
          <w:b/>
          <w:i w:val="false"/>
          <w:color w:val="000000"/>
          <w:sz w:val="21"/>
        </w:rPr>
        <w:t>a) 先秦考古</w:t>
      </w:r>
      <w:r>
        <w:rPr>
          <w:rFonts w:ascii="SimSun" w:hAnsi="SimSun"/>
          <w:b/>
          <w:i w:val="false"/>
          <w:color w:val="000000"/>
          <w:sz w:val="21"/>
        </w:rPr>
        <w:t>（0学分）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05"/>
        <w:gridCol w:w="800"/>
        <w:gridCol w:w="800"/>
        <w:gridCol w:w="1122"/>
        <w:gridCol w:w="1778"/>
        <w:gridCol w:w="801"/>
        <w:gridCol w:w="801"/>
        <w:gridCol w:w="801"/>
        <w:gridCol w:w="801"/>
        <w:gridCol w:w="1122"/>
        <w:gridCol w:w="1603"/>
      </w:tblGrid>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古代陶器研究</w:t>
            </w:r>
            <w:r>
              <w:br/>
            </w:r>
            <w:r>
              <w:br/>
            </w:r>
            <w:r>
              <w:rPr>
                <w:rFonts w:ascii="SimSun" w:hAnsi="SimSun"/>
                <w:b w:val="false"/>
                <w:i w:val="false"/>
                <w:color w:val="000000"/>
                <w:sz w:val="21"/>
              </w:rPr>
              <w:t>Study on Ancient Pottery</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CULT60022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7,8</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新石器考古研究</w:t>
            </w:r>
            <w:r>
              <w:br/>
            </w:r>
            <w:r>
              <w:br/>
            </w:r>
            <w:r>
              <w:rPr>
                <w:rFonts w:ascii="SimSun" w:hAnsi="SimSun"/>
                <w:b w:val="false"/>
                <w:i w:val="false"/>
                <w:color w:val="000000"/>
                <w:sz w:val="21"/>
              </w:rPr>
              <w:t>Neolithic Archaeology Research</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CULT60025</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7,8</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聚落考古研究</w:t>
            </w:r>
            <w:r>
              <w:br/>
            </w:r>
            <w:r>
              <w:br/>
            </w:r>
            <w:r>
              <w:rPr>
                <w:rFonts w:ascii="SimSun" w:hAnsi="SimSun"/>
                <w:b w:val="false"/>
                <w:i w:val="false"/>
                <w:color w:val="000000"/>
                <w:sz w:val="21"/>
              </w:rPr>
              <w:t>Settlement Archaeology Research</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ARCH50004</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7,8</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丝绸之路考古</w:t>
            </w:r>
            <w:r>
              <w:br/>
            </w:r>
            <w:r>
              <w:br/>
            </w:r>
            <w:r>
              <w:rPr>
                <w:rFonts w:ascii="SimSun" w:hAnsi="SimSun"/>
                <w:b w:val="false"/>
                <w:i w:val="false"/>
                <w:color w:val="000000"/>
                <w:sz w:val="21"/>
              </w:rPr>
              <w:t>Silk Road Archaeology</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CULT60008</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7,8</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陶器的生产与利用研究</w:t>
            </w:r>
            <w:r>
              <w:br/>
            </w:r>
            <w:r>
              <w:br/>
            </w:r>
            <w:r>
              <w:rPr>
                <w:rFonts w:ascii="SimSun" w:hAnsi="SimSun"/>
                <w:b w:val="false"/>
                <w:i w:val="false"/>
                <w:color w:val="000000"/>
                <w:sz w:val="21"/>
              </w:rPr>
              <w:t>Ritual Pottery and the Complexity of Society</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ARCH80016</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9,10</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丝绸之路考古研究</w:t>
            </w:r>
            <w:r>
              <w:br/>
            </w:r>
            <w:r>
              <w:br/>
            </w:r>
            <w:r>
              <w:rPr>
                <w:rFonts w:ascii="SimSun" w:hAnsi="SimSun"/>
                <w:b w:val="false"/>
                <w:i w:val="false"/>
                <w:color w:val="000000"/>
                <w:sz w:val="21"/>
              </w:rPr>
              <w:t>Archaeological Research of the Silk Road</w:t>
            </w:r>
          </w:p>
        </w:tc>
        <w:tc>
          <w:tcPr>
            <w:tcW w:w="80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7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ARCH80001</w:t>
            </w:r>
          </w:p>
        </w:tc>
        <w:tc>
          <w:tcPr>
            <w:tcW w:w="80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9,10</w:t>
            </w:r>
          </w:p>
        </w:tc>
        <w:tc>
          <w:tcPr>
            <w:tcW w:w="112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b) 历史时期考古</w:t>
      </w:r>
      <w:r>
        <w:rPr>
          <w:rFonts w:ascii="SimSun" w:hAnsi="SimSun"/>
          <w:b/>
          <w:i w:val="false"/>
          <w:color w:val="000000"/>
          <w:sz w:val="21"/>
        </w:rPr>
        <w:t>（0学分）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05"/>
        <w:gridCol w:w="800"/>
        <w:gridCol w:w="800"/>
        <w:gridCol w:w="1122"/>
        <w:gridCol w:w="1778"/>
        <w:gridCol w:w="801"/>
        <w:gridCol w:w="801"/>
        <w:gridCol w:w="801"/>
        <w:gridCol w:w="801"/>
        <w:gridCol w:w="1122"/>
        <w:gridCol w:w="1603"/>
      </w:tblGrid>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历史时期城址与墓葬研究专题</w:t>
            </w:r>
            <w:r>
              <w:br/>
            </w:r>
            <w:r>
              <w:br/>
            </w:r>
            <w:r>
              <w:rPr>
                <w:rFonts w:ascii="SimSun" w:hAnsi="SimSun"/>
                <w:b w:val="false"/>
                <w:i w:val="false"/>
                <w:color w:val="000000"/>
                <w:sz w:val="21"/>
              </w:rPr>
              <w:t>Special Topics on City Sites and Tombs of Historical Period</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CULT60024</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7,8</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陶瓷考古研究</w:t>
            </w:r>
            <w:r>
              <w:br/>
            </w:r>
            <w:r>
              <w:br/>
            </w:r>
            <w:r>
              <w:rPr>
                <w:rFonts w:ascii="SimSun" w:hAnsi="SimSun"/>
                <w:b w:val="false"/>
                <w:i w:val="false"/>
                <w:color w:val="000000"/>
                <w:sz w:val="21"/>
              </w:rPr>
              <w:t>Research on Ceramic Archaeology</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CULT60006</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7,8</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海上丝绸之路考古</w:t>
            </w:r>
            <w:r>
              <w:br/>
            </w:r>
            <w:r>
              <w:br/>
            </w:r>
            <w:r>
              <w:rPr>
                <w:rFonts w:ascii="SimSun" w:hAnsi="SimSun"/>
                <w:b w:val="false"/>
                <w:i w:val="false"/>
                <w:color w:val="000000"/>
                <w:sz w:val="21"/>
              </w:rPr>
              <w:t>The Archaeology of Maritime Silkroad</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CULT60023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7,8</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历史时期考古学理论与实践</w:t>
            </w:r>
            <w:r>
              <w:br/>
            </w:r>
            <w:r>
              <w:br/>
            </w:r>
            <w:r>
              <w:rPr>
                <w:rFonts w:ascii="SimSun" w:hAnsi="SimSun"/>
                <w:b w:val="false"/>
                <w:i w:val="false"/>
                <w:color w:val="000000"/>
                <w:sz w:val="21"/>
              </w:rPr>
              <w:t>Theory and Practice of Archaeology in Historical Period</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ARCH70015</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9,10</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陶瓷考古理论与实践</w:t>
            </w:r>
            <w:r>
              <w:br/>
            </w:r>
            <w:r>
              <w:br/>
            </w:r>
            <w:r>
              <w:rPr>
                <w:rFonts w:ascii="SimSun" w:hAnsi="SimSun"/>
                <w:b w:val="false"/>
                <w:i w:val="false"/>
                <w:color w:val="000000"/>
                <w:sz w:val="21"/>
              </w:rPr>
              <w:t>Theory and Practice of Ceramic Archaeology</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ARCH70018</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9,10</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瓷器起源研究</w:t>
            </w:r>
            <w:r>
              <w:br/>
            </w:r>
            <w:r>
              <w:br/>
            </w:r>
            <w:r>
              <w:rPr>
                <w:rFonts w:ascii="SimSun" w:hAnsi="SimSun"/>
                <w:b w:val="false"/>
                <w:i w:val="false"/>
                <w:color w:val="000000"/>
                <w:sz w:val="21"/>
              </w:rPr>
              <w:t>Study on the origin of porcelain production</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ARCH80018</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9,10</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海上丝绸之路考古前沿</w:t>
            </w:r>
            <w:r>
              <w:br/>
            </w:r>
            <w:r>
              <w:br/>
            </w:r>
            <w:r>
              <w:rPr>
                <w:rFonts w:ascii="SimSun" w:hAnsi="SimSun"/>
                <w:b w:val="false"/>
                <w:i w:val="false"/>
                <w:color w:val="000000"/>
                <w:sz w:val="21"/>
              </w:rPr>
              <w:t>Frontiers of Maritime Silk Road Archaeology</w:t>
            </w:r>
          </w:p>
        </w:tc>
        <w:tc>
          <w:tcPr>
            <w:tcW w:w="80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7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ARCH80004</w:t>
            </w:r>
          </w:p>
        </w:tc>
        <w:tc>
          <w:tcPr>
            <w:tcW w:w="80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9,10</w:t>
            </w:r>
          </w:p>
        </w:tc>
        <w:tc>
          <w:tcPr>
            <w:tcW w:w="112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c) 科技考古</w:t>
      </w:r>
      <w:r>
        <w:rPr>
          <w:rFonts w:ascii="SimSun" w:hAnsi="SimSun"/>
          <w:b/>
          <w:i w:val="false"/>
          <w:color w:val="000000"/>
          <w:sz w:val="21"/>
        </w:rPr>
        <w:t>（0学分）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05"/>
        <w:gridCol w:w="800"/>
        <w:gridCol w:w="800"/>
        <w:gridCol w:w="1122"/>
        <w:gridCol w:w="1778"/>
        <w:gridCol w:w="801"/>
        <w:gridCol w:w="801"/>
        <w:gridCol w:w="801"/>
        <w:gridCol w:w="801"/>
        <w:gridCol w:w="1122"/>
        <w:gridCol w:w="1603"/>
      </w:tblGrid>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动物考古的方法与实践</w:t>
            </w:r>
            <w:r>
              <w:br/>
            </w:r>
            <w:r>
              <w:br/>
            </w:r>
            <w:r>
              <w:rPr>
                <w:rFonts w:ascii="SimSun" w:hAnsi="SimSun"/>
                <w:b w:val="false"/>
                <w:i w:val="false"/>
                <w:color w:val="000000"/>
                <w:sz w:val="21"/>
              </w:rPr>
              <w:t>Zooarchaeological method and practice</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CULT60021</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7,8</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生物考古</w:t>
            </w:r>
            <w:r>
              <w:br/>
            </w:r>
            <w:r>
              <w:br/>
            </w:r>
            <w:r>
              <w:rPr>
                <w:rFonts w:ascii="SimSun" w:hAnsi="SimSun"/>
                <w:b w:val="false"/>
                <w:i w:val="false"/>
                <w:color w:val="000000"/>
                <w:sz w:val="21"/>
              </w:rPr>
              <w:t>Bioarchaeology</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CULT60009</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7,8</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农业起源研究</w:t>
            </w:r>
            <w:r>
              <w:br/>
            </w:r>
            <w:r>
              <w:br/>
            </w:r>
            <w:r>
              <w:rPr>
                <w:rFonts w:ascii="SimSun" w:hAnsi="SimSun"/>
                <w:b w:val="false"/>
                <w:i w:val="false"/>
                <w:color w:val="000000"/>
                <w:sz w:val="21"/>
              </w:rPr>
              <w:t>Origins of Agriculture</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CULT60014</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7,8</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同位素食谱分析</w:t>
            </w:r>
            <w:r>
              <w:br/>
            </w:r>
            <w:r>
              <w:br/>
            </w:r>
            <w:r>
              <w:rPr>
                <w:rFonts w:ascii="SimSun" w:hAnsi="SimSun"/>
                <w:b w:val="false"/>
                <w:i w:val="false"/>
                <w:color w:val="000000"/>
                <w:sz w:val="21"/>
              </w:rPr>
              <w:t>Isotopic dietary analysis</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48</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CULT60015</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7,8</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人骨考古学</w:t>
            </w:r>
            <w:r>
              <w:br/>
            </w:r>
            <w:r>
              <w:br/>
            </w:r>
            <w:r>
              <w:rPr>
                <w:rFonts w:ascii="SimSun" w:hAnsi="SimSun"/>
                <w:b w:val="false"/>
                <w:i w:val="false"/>
                <w:color w:val="000000"/>
                <w:sz w:val="21"/>
              </w:rPr>
              <w:t>Human Osteoarchaeology</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CULT60007</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7,8</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史前经济研究专题</w:t>
            </w:r>
            <w:r>
              <w:br/>
            </w:r>
            <w:r>
              <w:br/>
            </w:r>
            <w:r>
              <w:rPr>
                <w:rFonts w:ascii="SimSun" w:hAnsi="SimSun"/>
                <w:b w:val="false"/>
                <w:i w:val="false"/>
                <w:color w:val="000000"/>
                <w:sz w:val="21"/>
              </w:rPr>
              <w:t>Research on Prehistoric Economy</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CULT60027</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7,8</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植物考古的方法与实践</w:t>
            </w:r>
            <w:r>
              <w:br/>
            </w:r>
            <w:r>
              <w:br/>
            </w:r>
            <w:r>
              <w:rPr>
                <w:rFonts w:ascii="SimSun" w:hAnsi="SimSun"/>
                <w:b w:val="false"/>
                <w:i w:val="false"/>
                <w:color w:val="000000"/>
                <w:sz w:val="21"/>
              </w:rPr>
              <w:t>The Method and Practice of Archaeobotany</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CULT60030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7,8</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生物人类学</w:t>
            </w:r>
            <w:r>
              <w:br/>
            </w:r>
            <w:r>
              <w:br/>
            </w:r>
            <w:r>
              <w:rPr>
                <w:rFonts w:ascii="SimSun" w:hAnsi="SimSun"/>
                <w:b w:val="false"/>
                <w:i w:val="false"/>
                <w:color w:val="000000"/>
                <w:sz w:val="21"/>
              </w:rPr>
              <w:t>Biological Anthropology</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CULT60029</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7,8</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科研论文写作</w:t>
            </w:r>
            <w:r>
              <w:br/>
            </w:r>
            <w:r>
              <w:br/>
            </w:r>
            <w:r>
              <w:rPr>
                <w:rFonts w:ascii="SimSun" w:hAnsi="SimSun"/>
                <w:b w:val="false"/>
                <w:i w:val="false"/>
                <w:color w:val="000000"/>
                <w:sz w:val="21"/>
              </w:rPr>
              <w:t>Research paper writing: methods and standards</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CULT60005</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7,8</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中国古代制瓷技术研究</w:t>
            </w:r>
            <w:r>
              <w:br/>
            </w:r>
            <w:r>
              <w:br/>
            </w:r>
            <w:r>
              <w:rPr>
                <w:rFonts w:ascii="SimSun" w:hAnsi="SimSun"/>
                <w:b w:val="false"/>
                <w:i w:val="false"/>
                <w:color w:val="000000"/>
                <w:sz w:val="21"/>
              </w:rPr>
              <w:t>Study on the porcelain production technique of Ancient China</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40</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CULT60020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7,8</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动物考古的分析与阐释</w:t>
            </w:r>
            <w:r>
              <w:br/>
            </w:r>
            <w:r>
              <w:br/>
            </w:r>
            <w:r>
              <w:rPr>
                <w:rFonts w:ascii="SimSun" w:hAnsi="SimSun"/>
                <w:b w:val="false"/>
                <w:i w:val="false"/>
                <w:color w:val="000000"/>
                <w:sz w:val="21"/>
              </w:rPr>
              <w:t>Zooarchaeological analysis and interpretation</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ARCH80015</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9,10</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生物考古前沿研究</w:t>
            </w:r>
            <w:r>
              <w:br/>
            </w:r>
            <w:r>
              <w:br/>
            </w:r>
            <w:r>
              <w:rPr>
                <w:rFonts w:ascii="SimSun" w:hAnsi="SimSun"/>
                <w:b w:val="false"/>
                <w:i w:val="false"/>
                <w:color w:val="000000"/>
                <w:sz w:val="21"/>
              </w:rPr>
              <w:t>Frontiers in bioarchaeology</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ARCH70014</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9,10</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分子考古前沿</w:t>
            </w:r>
            <w:r>
              <w:br/>
            </w:r>
            <w:r>
              <w:br/>
            </w:r>
            <w:r>
              <w:rPr>
                <w:rFonts w:ascii="SimSun" w:hAnsi="SimSun"/>
                <w:b w:val="false"/>
                <w:i w:val="false"/>
                <w:color w:val="000000"/>
                <w:sz w:val="21"/>
              </w:rPr>
              <w:t>Molecular Archaeology Frontiers</w:t>
            </w:r>
          </w:p>
        </w:tc>
        <w:tc>
          <w:tcPr>
            <w:tcW w:w="80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7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ARCH70001</w:t>
            </w:r>
          </w:p>
        </w:tc>
        <w:tc>
          <w:tcPr>
            <w:tcW w:w="80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9,10</w:t>
            </w:r>
          </w:p>
        </w:tc>
        <w:tc>
          <w:tcPr>
            <w:tcW w:w="112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d) 文物科技保护</w:t>
      </w:r>
      <w:r>
        <w:rPr>
          <w:rFonts w:ascii="SimSun" w:hAnsi="SimSun"/>
          <w:b/>
          <w:i w:val="false"/>
          <w:color w:val="000000"/>
          <w:sz w:val="21"/>
        </w:rPr>
        <w:t>（0学分）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05"/>
        <w:gridCol w:w="800"/>
        <w:gridCol w:w="800"/>
        <w:gridCol w:w="1122"/>
        <w:gridCol w:w="1778"/>
        <w:gridCol w:w="801"/>
        <w:gridCol w:w="801"/>
        <w:gridCol w:w="801"/>
        <w:gridCol w:w="801"/>
        <w:gridCol w:w="1122"/>
        <w:gridCol w:w="1603"/>
      </w:tblGrid>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硅酸盐文物的材料学基础</w:t>
            </w:r>
            <w:r>
              <w:br/>
            </w:r>
            <w:r>
              <w:br/>
            </w:r>
            <w:r>
              <w:rPr>
                <w:rFonts w:ascii="SimSun" w:hAnsi="SimSun"/>
                <w:b w:val="false"/>
                <w:i w:val="false"/>
                <w:color w:val="000000"/>
                <w:sz w:val="21"/>
              </w:rPr>
              <w:t>Foundamentals of materials science on the cultural relics of silicate</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CULT60002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7,8</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传统造纸工艺与纸张保护</w:t>
            </w:r>
            <w:r>
              <w:br/>
            </w:r>
            <w:r>
              <w:br/>
            </w:r>
            <w:r>
              <w:rPr>
                <w:rFonts w:ascii="SimSun" w:hAnsi="SimSun"/>
                <w:b w:val="false"/>
                <w:i w:val="false"/>
                <w:color w:val="000000"/>
                <w:sz w:val="21"/>
              </w:rPr>
              <w:t>Traditional Papermaking Technique and Paper Conservation</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CULT60013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7,8</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现代科技与文物</w:t>
            </w:r>
            <w:r>
              <w:br/>
            </w:r>
            <w:r>
              <w:br/>
            </w:r>
            <w:r>
              <w:rPr>
                <w:rFonts w:ascii="SimSun" w:hAnsi="SimSun"/>
                <w:b w:val="false"/>
                <w:i w:val="false"/>
                <w:color w:val="000000"/>
                <w:sz w:val="21"/>
              </w:rPr>
              <w:t>Modern Science and Cultural Relics</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CULT50003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7,8</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文物保护与修复专题</w:t>
            </w:r>
            <w:r>
              <w:br/>
            </w:r>
            <w:r>
              <w:br/>
            </w:r>
            <w:r>
              <w:rPr>
                <w:rFonts w:ascii="SimSun" w:hAnsi="SimSun"/>
                <w:b w:val="false"/>
                <w:i w:val="false"/>
                <w:color w:val="000000"/>
                <w:sz w:val="21"/>
              </w:rPr>
              <w:t>Special Topics of Conservation and Restoration of Cultural Relics</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81</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CULT50001</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7,8</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石窟寺保护研究</w:t>
            </w:r>
            <w:r>
              <w:br/>
            </w:r>
            <w:r>
              <w:br/>
            </w:r>
            <w:r>
              <w:rPr>
                <w:rFonts w:ascii="SimSun" w:hAnsi="SimSun"/>
                <w:b w:val="false"/>
                <w:i w:val="false"/>
                <w:color w:val="000000"/>
                <w:sz w:val="21"/>
              </w:rPr>
              <w:t>Study on the protection of grottotemples</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ARCH80005</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9,10</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硅酸盐类文物的科技研究</w:t>
            </w:r>
            <w:r>
              <w:br/>
            </w:r>
            <w:r>
              <w:br/>
            </w:r>
            <w:r>
              <w:rPr>
                <w:rFonts w:ascii="SimSun" w:hAnsi="SimSun"/>
                <w:b w:val="false"/>
                <w:i w:val="false"/>
                <w:color w:val="000000"/>
                <w:sz w:val="21"/>
              </w:rPr>
              <w:t>The scientific research on the silicate cultural relics</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CULT60010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9,10</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传统造纸工艺研究</w:t>
            </w:r>
            <w:r>
              <w:br/>
            </w:r>
            <w:r>
              <w:br/>
            </w:r>
            <w:r>
              <w:rPr>
                <w:rFonts w:ascii="SimSun" w:hAnsi="SimSun"/>
                <w:b w:val="false"/>
                <w:i w:val="false"/>
                <w:color w:val="000000"/>
                <w:sz w:val="21"/>
              </w:rPr>
              <w:t>Traditional paper-making technique</w:t>
            </w:r>
          </w:p>
        </w:tc>
        <w:tc>
          <w:tcPr>
            <w:tcW w:w="80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7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ARCH80014</w:t>
            </w:r>
          </w:p>
        </w:tc>
        <w:tc>
          <w:tcPr>
            <w:tcW w:w="80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9,10</w:t>
            </w:r>
          </w:p>
        </w:tc>
        <w:tc>
          <w:tcPr>
            <w:tcW w:w="112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2.  荣誉项目路径</w:t>
      </w:r>
      <w:r>
        <w:rPr>
          <w:rFonts w:ascii="SimSun" w:hAnsi="SimSun"/>
          <w:b/>
          <w:i w:val="false"/>
          <w:color w:val="000000"/>
          <w:sz w:val="21"/>
        </w:rPr>
        <w:t>（0学分）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荣誉项目课程设置和修读要求请见文物与博物馆学系本科“荣誉项目”实施方案。
      </w:t>
      </w:r>
    </w:p>
    <w:p>
      <w:pPr>
        <w:spacing w:after="0"/>
        <w:ind w:left="0"/>
        <w:jc w:val="left"/>
      </w:pPr>
      <w:r>
        <w:rPr>
          <w:rFonts w:ascii="SimSun" w:hAnsi="SimSun"/>
          <w:b/>
          <w:i w:val="false"/>
          <w:color w:val="000000"/>
          <w:sz w:val="21"/>
        </w:rPr>
        <w:t xml:space="preserve">
       </w:t>
      </w:r>
      <w:r>
        <w:rPr>
          <w:rFonts w:ascii="SimSun" w:hAnsi="SimSun"/>
          <w:b/>
          <w:i w:val="false"/>
          <w:color w:val="000000"/>
          <w:sz w:val="21"/>
        </w:rPr>
        <w:t>3.  跨学科发展路径</w:t>
      </w:r>
      <w:r>
        <w:rPr>
          <w:rFonts w:ascii="SimSun" w:hAnsi="SimSun"/>
          <w:b/>
          <w:i w:val="false"/>
          <w:color w:val="000000"/>
          <w:sz w:val="21"/>
        </w:rPr>
        <w:t>（45学分）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修满45学分。要求在专业进阶模块I修读20学分（研究生课程不少于10学分）、专业进阶模块II修读10学分、1个非本专业独立开设的微专业（学程）。微专业（学程）课程详见教务处网页，下载地址：https://jwc.fudan.edu.cn/（复旦大学教务处）-专业培养-常用文档。     
      </w:t>
      </w:r>
    </w:p>
    <w:p>
      <w:pPr>
        <w:spacing w:after="0"/>
        <w:ind w:left="0"/>
        <w:jc w:val="left"/>
      </w:pPr>
      <w:r>
        <w:rPr>
          <w:rFonts w:ascii="SimSun" w:hAnsi="SimSun"/>
          <w:b/>
          <w:i w:val="false"/>
          <w:color w:val="000000"/>
          <w:sz w:val="21"/>
        </w:rPr>
        <w:t xml:space="preserve">
       </w:t>
      </w:r>
      <w:r>
        <w:rPr>
          <w:rFonts w:ascii="SimSun" w:hAnsi="SimSun"/>
          <w:b/>
          <w:i w:val="false"/>
          <w:color w:val="000000"/>
          <w:sz w:val="21"/>
        </w:rPr>
        <w:t>4.  创新创业路径</w:t>
      </w:r>
      <w:r>
        <w:rPr>
          <w:rFonts w:ascii="SimSun" w:hAnsi="SimSun"/>
          <w:b/>
          <w:i w:val="false"/>
          <w:color w:val="000000"/>
          <w:sz w:val="21"/>
        </w:rPr>
        <w:t>（45学分）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修满45学分。要求在专业进阶模块I修读20学分（研究生课程不少于10学分）、专业进阶模块II修读10学分和1个创新创业学院开设的创新创业微专业（学程）。创新创业微专业（学程）课程详见教务处网页，下载地址：https://jwc.fudan.edu.cn/（复旦大学教务处）-专业培养-常用文档。
      </w:t>
      </w:r>
    </w:p>
    <w:p>
      <w:pPr>
        <w:spacing w:after="0"/>
        <w:ind w:left="0"/>
        <w:jc w:val="left"/>
      </w:pPr>
      <w:r>
        <w:rPr>
          <w:rFonts w:ascii="SimSun" w:hAnsi="SimSun"/>
          <w:b/>
          <w:i w:val="false"/>
          <w:color w:val="000000"/>
          <w:sz w:val="21"/>
        </w:rPr>
        <w:t xml:space="preserve">
       </w:t>
      </w:r>
      <w:r>
        <w:rPr>
          <w:rFonts w:ascii="SimSun" w:hAnsi="SimSun"/>
          <w:b/>
          <w:i w:val="false"/>
          <w:color w:val="000000"/>
          <w:sz w:val="21"/>
        </w:rPr>
        <w:t>5.  辅修学士学位路径</w:t>
      </w:r>
      <w:r>
        <w:rPr>
          <w:rFonts w:ascii="SimSun" w:hAnsi="SimSun"/>
          <w:b/>
          <w:i w:val="false"/>
          <w:color w:val="000000"/>
          <w:sz w:val="21"/>
        </w:rPr>
        <w:t>（70学分）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修满70学分。要求在专业进阶模块I修读20学分（研究生课程不少于10学分）、专业进阶模块II修读10学分和1个辅修学士学位项目，辅修学士学位应与主修学士学位归属不同的本科专业大类。
       </w:t>
      </w:r>
      <w:r>
        <w:br/>
      </w:r>
      <w:r>
        <w:rPr>
          <w:rFonts w:ascii="SimSun" w:hAnsi="SimSun"/>
          <w:b w:val="false"/>
          <w:i w:val="false"/>
          <w:color w:val="000000"/>
          <w:sz w:val="21"/>
        </w:rPr>
        <w:t xml:space="preserve">
       </w:t>
      </w:r>
      <w:r>
        <w:br/>
      </w:r>
      <w:r>
        <w:rPr>
          <w:rFonts w:ascii="SimSun" w:hAnsi="SimSun"/>
          <w:b w:val="false"/>
          <w:i w:val="false"/>
          <w:color w:val="000000"/>
          <w:sz w:val="21"/>
        </w:rPr>
        <w:t xml:space="preserve">辅修学士学位项目课程设置详见教务处辅修学士学位项目网页，下载地址：https://jwc.fudan.edu.cn/（复旦大学教务处）-专业培养-常用文档。    
      </w:t>
      </w:r>
    </w:p>
    <w:p>
      <w:pPr>
        <w:spacing w:after="0"/>
        <w:ind w:left="0"/>
        <w:jc w:val="left"/>
      </w:pPr>
      <w:r>
        <w:rPr>
          <w:rFonts w:ascii="SimSun" w:hAnsi="SimSun"/>
          <w:b/>
          <w:i w:val="false"/>
          <w:color w:val="000000"/>
          <w:sz w:val="21"/>
        </w:rPr>
        <w:t xml:space="preserve">
       </w:t>
      </w:r>
      <w:r>
        <w:rPr>
          <w:rFonts w:ascii="SimSun" w:hAnsi="SimSun"/>
          <w:b/>
          <w:i w:val="false"/>
          <w:color w:val="000000"/>
          <w:sz w:val="21"/>
        </w:rPr>
        <w:t>其他</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专业培养和多元发展路径共享的课程只计算一次学分。
      </w:t>
      </w:r>
    </w:p>
    <w:p>
      <w:pPr>
        <w:spacing w:after="0"/>
        <w:ind w:left="0"/>
        <w:jc w:val="left"/>
      </w:pPr>
      <w:r>
        <w:rPr>
          <w:rFonts w:ascii="SimSun" w:hAnsi="SimSun"/>
          <w:b/>
          <w:i w:val="false"/>
          <w:color w:val="000000"/>
          <w:sz w:val="21"/>
        </w:rPr>
        <w:t xml:space="preserve">
       </w:t>
      </w:r>
      <w:r>
        <w:rPr>
          <w:rFonts w:ascii="SimSun" w:hAnsi="SimSun"/>
          <w:b/>
          <w:i w:val="false"/>
          <w:color w:val="000000"/>
          <w:sz w:val="21"/>
        </w:rPr>
        <w:t>(四) 融合创新能力</w:t>
      </w:r>
      <w:r>
        <w:rPr>
          <w:rFonts w:ascii="SimSun" w:hAnsi="SimSun"/>
          <w:b/>
          <w:i w:val="false"/>
          <w:color w:val="000000"/>
          <w:sz w:val="21"/>
        </w:rPr>
        <w:t>（13学分）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本科学段需完成至少11学分（必修7学分，选修4学分）。
       </w:t>
      </w:r>
      <w:r>
        <w:br/>
      </w:r>
      <w:r>
        <w:rPr>
          <w:rFonts w:ascii="SimSun" w:hAnsi="SimSun"/>
          <w:b w:val="false"/>
          <w:i w:val="false"/>
          <w:color w:val="000000"/>
          <w:sz w:val="21"/>
        </w:rPr>
        <w:t xml:space="preserve">
       </w:t>
      </w:r>
      <w:r>
        <w:br/>
      </w:r>
      <w:r>
        <w:rPr>
          <w:rFonts w:ascii="SimSun" w:hAnsi="SimSun"/>
          <w:b w:val="false"/>
          <w:i w:val="false"/>
          <w:color w:val="000000"/>
          <w:sz w:val="21"/>
        </w:rPr>
        <w:t xml:space="preserve">研究生学段需完成至少6学分（必修4学分，选修2学分），并完成无学分必修培养环节要求。
       </w:t>
      </w:r>
      <w:r>
        <w:br/>
      </w:r>
      <w:r>
        <w:rPr>
          <w:rFonts w:ascii="SimSun" w:hAnsi="SimSun"/>
          <w:b w:val="false"/>
          <w:i w:val="false"/>
          <w:color w:val="000000"/>
          <w:sz w:val="21"/>
        </w:rPr>
        <w:t xml:space="preserve">
       </w:t>
      </w:r>
      <w:r>
        <w:br/>
      </w:r>
      <w:r>
        <w:rPr>
          <w:rFonts w:ascii="SimSun" w:hAnsi="SimSun"/>
          <w:b w:val="false"/>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05"/>
        <w:gridCol w:w="800"/>
        <w:gridCol w:w="800"/>
        <w:gridCol w:w="1122"/>
        <w:gridCol w:w="1778"/>
        <w:gridCol w:w="801"/>
        <w:gridCol w:w="801"/>
        <w:gridCol w:w="801"/>
        <w:gridCol w:w="801"/>
        <w:gridCol w:w="1122"/>
        <w:gridCol w:w="1603"/>
      </w:tblGrid>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学年论文</w:t>
            </w:r>
            <w:r>
              <w:br/>
            </w:r>
            <w:r>
              <w:br/>
            </w:r>
            <w:r>
              <w:rPr>
                <w:rFonts w:ascii="SimSun" w:hAnsi="SimSun"/>
                <w:b w:val="false"/>
                <w:i w:val="false"/>
                <w:color w:val="000000"/>
                <w:sz w:val="21"/>
              </w:rPr>
              <w:t>Junior Thesis</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18</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ARCH30006</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毕业论文</w:t>
            </w:r>
            <w:r>
              <w:br/>
            </w:r>
            <w:r>
              <w:br/>
            </w:r>
            <w:r>
              <w:rPr>
                <w:rFonts w:ascii="SimSun" w:hAnsi="SimSun"/>
                <w:b w:val="false"/>
                <w:i w:val="false"/>
                <w:color w:val="000000"/>
                <w:sz w:val="21"/>
              </w:rPr>
              <w:t>Graduation Thesis</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ARCH40004</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8</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纸质文物修复</w:t>
            </w:r>
            <w:r>
              <w:br/>
            </w:r>
            <w:r>
              <w:br/>
            </w:r>
            <w:r>
              <w:rPr>
                <w:rFonts w:ascii="SimSun" w:hAnsi="SimSun"/>
                <w:b w:val="false"/>
                <w:i w:val="false"/>
                <w:color w:val="000000"/>
                <w:sz w:val="21"/>
              </w:rPr>
              <w:t>Restoration of Paper</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CULT30013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古陶瓷修复</w:t>
            </w:r>
            <w:r>
              <w:br/>
            </w:r>
            <w:r>
              <w:br/>
            </w:r>
            <w:r>
              <w:rPr>
                <w:rFonts w:ascii="SimSun" w:hAnsi="SimSun"/>
                <w:b w:val="false"/>
                <w:i w:val="false"/>
                <w:color w:val="000000"/>
                <w:sz w:val="21"/>
              </w:rPr>
              <w:t>Restoration of Ancient Ceramics</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CULT30014</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陶瓷工艺的理论与实践</w:t>
            </w:r>
            <w:r>
              <w:br/>
            </w:r>
            <w:r>
              <w:br/>
            </w:r>
            <w:r>
              <w:rPr>
                <w:rFonts w:ascii="SimSun" w:hAnsi="SimSun"/>
                <w:b w:val="false"/>
                <w:i w:val="false"/>
                <w:color w:val="000000"/>
                <w:sz w:val="21"/>
              </w:rPr>
              <w:t>Theory and practice of ceramic making technology</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CULT60028</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7,8</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建议本博融通第4年修读</w:t>
            </w: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公众考古学</w:t>
            </w:r>
            <w:r>
              <w:br/>
            </w:r>
            <w:r>
              <w:br/>
            </w:r>
            <w:r>
              <w:rPr>
                <w:rFonts w:ascii="SimSun" w:hAnsi="SimSun"/>
                <w:b w:val="false"/>
                <w:i w:val="false"/>
                <w:color w:val="000000"/>
                <w:sz w:val="21"/>
              </w:rPr>
              <w:t>Public Archaeology</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CULT60012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7,8</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建议本博融通第4年修读</w:t>
            </w: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前沿讲座</w:t>
            </w:r>
            <w:r>
              <w:br/>
            </w:r>
            <w:r>
              <w:br/>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0" w:type="auto"/>
            <w:gridSpan w:val="7"/>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（本科学段）前沿讲座(不少于10场），需提交学习报告。</w:t>
            </w: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科研实践I</w:t>
            </w:r>
            <w:r>
              <w:br/>
            </w:r>
            <w:r>
              <w:br/>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0" w:type="auto"/>
            <w:gridSpan w:val="7"/>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同位素考古实验训练（根据实际由教师招募，建议修读学期7/8）</w:t>
            </w: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科研实践II</w:t>
            </w:r>
            <w:r>
              <w:br/>
            </w:r>
            <w:r>
              <w:br/>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0" w:type="auto"/>
            <w:gridSpan w:val="7"/>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人骨考古实验训练（根据实际由教师招募，建议修读学期7/8）</w:t>
            </w: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科研实践III</w:t>
            </w:r>
            <w:r>
              <w:br/>
            </w:r>
            <w:r>
              <w:br/>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0" w:type="auto"/>
            <w:gridSpan w:val="7"/>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动物考古实验训练（根据实际由教师招募，建议修读学期7/8）</w:t>
            </w: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科研实践Ⅳ</w:t>
            </w:r>
            <w:r>
              <w:br/>
            </w:r>
            <w:r>
              <w:br/>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0" w:type="auto"/>
            <w:gridSpan w:val="7"/>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植物考古实验训练（根据实际由教师招募，建议修读学期7/8）</w:t>
            </w: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科研实践Ⅴ</w:t>
            </w:r>
            <w:r>
              <w:br/>
            </w:r>
            <w:r>
              <w:br/>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0" w:type="auto"/>
            <w:gridSpan w:val="7"/>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环境考古实验训练（根据实际由教师招募，建议修读学期7/8）</w:t>
            </w: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科研实践Ⅵ</w:t>
            </w:r>
            <w:r>
              <w:br/>
            </w:r>
            <w:r>
              <w:br/>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0" w:type="auto"/>
            <w:gridSpan w:val="7"/>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文物保护实验训练（根据实际由教师招募，建议修读学期7/8）</w:t>
            </w: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科研实践Ⅶ</w:t>
            </w:r>
            <w:r>
              <w:br/>
            </w:r>
            <w:r>
              <w:br/>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0" w:type="auto"/>
            <w:gridSpan w:val="7"/>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田野考古提升训练（根据实际由教师招募，建议修读学期7/8）</w:t>
            </w: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复芏计划(FDUROP)</w:t>
            </w:r>
            <w:r>
              <w:br/>
            </w:r>
            <w:r>
              <w:br/>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0" w:type="auto"/>
            <w:gridSpan w:val="7"/>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学生需主持完成复芏计划（FDUROP）项目，详见复旦大学本科生学术研究资助计划管理办法。</w:t>
            </w: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研究生学术活动</w:t>
            </w:r>
            <w:r>
              <w:br/>
            </w:r>
            <w:r>
              <w:br/>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0" w:type="auto"/>
            <w:gridSpan w:val="7"/>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博士学段学术活动（前沿讲座不少于12场）、博士学段学术交流（学术报告不少于2次）。两次博资考不通过者转学硕，则完成相应学术硕士要求的学术活动：学术硕士学术活动（前沿讲座不少于10场）、学术硕士学术交流（学术报告至少1次）。</w:t>
            </w: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研究生实践活动</w:t>
            </w:r>
            <w:r>
              <w:br/>
            </w:r>
            <w:r>
              <w:br/>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0" w:type="auto"/>
            <w:gridSpan w:val="7"/>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博士阶段专业实践。两次博资考不通过者转学硕完成相应要求的学术硕士专业实践。</w:t>
            </w: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博士生资格考核</w:t>
            </w:r>
            <w:r>
              <w:br/>
            </w:r>
            <w:r>
              <w:br/>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0" w:type="auto"/>
            <w:gridSpan w:val="7"/>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博士生资格考试。第10学期期末可申请参加，不通过者第12学期期末参加第二次，两次不通过者转为学术学位硕士学段，不通过者增加2年学习时间至硕士毕业。</w:t>
            </w: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博士学位论文开题</w:t>
            </w:r>
            <w:r>
              <w:br/>
            </w:r>
            <w:r>
              <w:br/>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0" w:type="auto"/>
            <w:gridSpan w:val="7"/>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博士学位论文开题。通过博资考后可申请，详见文博系博士论文开题实施细则。</w:t>
            </w: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博士论文中期考核</w:t>
            </w:r>
            <w:r>
              <w:br/>
            </w:r>
            <w:r>
              <w:br/>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0" w:type="auto"/>
            <w:gridSpan w:val="7"/>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博士生中期考核。具体要求详见文博系博士论文中期实施细则。</w:t>
            </w:r>
          </w:p>
        </w:tc>
      </w:tr>
      <w:tr>
        <w:trPr>
          <w:trHeight w:val="45" w:hRule="atLeast"/>
        </w:trPr>
        <w:tc>
          <w:tcPr>
            <w:tcW w:w="320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博士学位论文预审</w:t>
            </w:r>
            <w:r>
              <w:br/>
            </w:r>
            <w:r>
              <w:br/>
            </w:r>
          </w:p>
        </w:tc>
        <w:tc>
          <w:tcPr>
            <w:tcW w:w="80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112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0" w:type="auto"/>
            <w:gridSpan w:val="7"/>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博士学位论文预答辩。具体要求详见文博系博士论文预答辩实施细则。</w:t>
            </w:r>
          </w:p>
        </w:tc>
      </w:tr>
    </w:tbl>
    <w:sectPr>
      <w:pgSz w:w="11907" w:h="16839" w:code="9"/>
      <w:pgMar w:top="1440" w:right="1440" w:bottom="1440" w:left="1440"/>
    </w:sectPr>
  </w:body>
</w:document>
</file>

<file path=word/numbering.xml><?xml version="1.0" encoding="utf-8"?>
<w:numbering xmlns:ns30="http://schemas.openxmlformats.org/schemaLibrary/2006/main" xmlns:a="http://schemas.openxmlformats.org/drawingml/2006/main" xmlns:r="http://schemas.openxmlformats.org/officeDocument/2006/relationships" xmlns:mc="http://schemas.openxmlformats.org/markup-compatibility/2006" xmlns:w="http://schemas.openxmlformats.org/wordprocessingml/2006/main" xmlns:wp="http://schemas.openxmlformats.org/drawingml/2006/wordprocessingDrawing" xmlns:w15="http://schemas.microsoft.com/office/word/2012/wordml" xmlns:wp14="http://schemas.microsoft.com/office/word/2010/wordprocessingDrawing" xmlns:w14="http://schemas.microsoft.com/office/word/2010/wordml" xmlns:m="http://schemas.openxmlformats.org/officeDocument/2006/math"/>
</file>

<file path=word/settings.xml><?xml version="1.0" encoding="utf-8"?>
<w:settings xmlns:ns30="http://schemas.openxmlformats.org/schemaLibrary/2006/main" xmlns:a="http://schemas.openxmlformats.org/drawingml/2006/main" xmlns:r="http://schemas.openxmlformats.org/officeDocument/2006/relationships" xmlns:mc="http://schemas.openxmlformats.org/markup-compatibility/2006" xmlns:w="http://schemas.openxmlformats.org/wordprocessingml/2006/main" xmlns:wp="http://schemas.openxmlformats.org/drawingml/2006/wordprocessingDrawing" xmlns:w15="http://schemas.microsoft.com/office/word/2012/wordml" xmlns:wp14="http://schemas.microsoft.com/office/word/2010/wordprocessingDrawing" xmlns:w14="http://schemas.microsoft.com/office/word/2010/wordml" xmlns:m="http://schemas.openxmlformats.org/officeDocument/2006/math" mc:Ignorable="">
  <w:compat>
    <w:compatSetting w:name="overrideTableStyleFontSizeAndJustification" w:uri="http://schemas.microsoft.com/office/word" w:val="1"/>
  </w:compat>
</w:settings>
</file>

<file path=word/styles.xml><?xml version="1.0" encoding="utf-8"?>
<w:styles xmlns:ns30="http://schemas.openxmlformats.org/schemaLibrary/2006/main" xmlns:a="http://schemas.openxmlformats.org/drawingml/2006/main" xmlns:r="http://schemas.openxmlformats.org/officeDocument/2006/relationships" xmlns:mc="http://schemas.openxmlformats.org/markup-compatibility/2006" xmlns:w="http://schemas.openxmlformats.org/wordprocessingml/2006/main" xmlns:wp="http://schemas.openxmlformats.org/drawingml/2006/wordprocessingDrawing" xmlns:w15="http://schemas.microsoft.com/office/word/2012/wordml" xmlns:wp14="http://schemas.microsoft.com/office/word/2010/wordprocessingDrawing" xmlns:w14="http://schemas.microsoft.com/office/word/2010/wordml" xmlns:m="http://schemas.openxmlformats.org/officeDocument/2006/math">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qFormat/>
    <w:rsid w:val="004A3277"/>
  </w:style>
  <w:style w:type="paragraph" w:styleId="Heading1">
    <w:name w:val="heading 1"/>
    <w:basedOn w:val="Normal"/>
    <w:next w:val="Normal"/>
    <w:link w:val="Heading1Char"/>
    <w:uiPriority w:val="9"/>
    <w:qFormat/>
    <w:rsid w:val="00841CD9"/>
    <w:pPr>
      <w:keepNext/>
      <w:keepLines/>
      <w:spacing w:before="480"/>
      <w:outlineLvl w:val="0"/>
    </w:pPr>
    <w:rPr>
      <w:rFonts w:asciiTheme="majorHAnsi" w:hAnsiTheme="majorHAnsi" w:eastAsiaTheme="majorEastAsia"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heme="majorHAnsi" w:hAnsiTheme="majorHAnsi" w:eastAsiaTheme="majorEastAsia" w:cstheme="majorBidi"/>
      <w:b/>
      <w:bCs/>
      <w:color w:val="4F81BD" w:themeColor="accent1"/>
      <w:sz w:val="26"/>
      <w:szCs w:val="26"/>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heme="majorHAnsi" w:hAnsiTheme="majorHAnsi" w:eastAsiaTheme="majorEastAsia" w:cstheme="majorBidi"/>
      <w:b/>
      <w:bCs/>
      <w:color w:val="4F81BD" w:themeColor="accent1"/>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heme="majorHAnsi" w:hAnsiTheme="majorHAnsi" w:eastAsiaTheme="majorEastAsia" w:cstheme="majorBidi"/>
      <w:b/>
      <w:bCs/>
      <w:i/>
      <w:iCs/>
      <w:color w:val="4F81BD" w:themeColor="accent1"/>
    </w:rPr>
  </w:style>
  <w:style w:type="character" w:styleId="DefaultParagraphFont" w:default="true">
    <w:name w:val="Default Paragraph Font"/>
    <w:uiPriority w:val="1"/>
    <w:semiHidden/>
    <w:unhideWhenUsed/>
  </w:style>
  <w:style w:type="paragraph" w:styleId="Header">
    <w:name w:val="header"/>
    <w:basedOn w:val="Normal"/>
    <w:link w:val="HeaderChar"/>
    <w:uiPriority w:val="99"/>
    <w:unhideWhenUsed/>
    <w:rsid w:val="00841CD9"/>
    <w:pPr>
      <w:tabs>
        <w:tab w:val="center" w:pos="4680"/>
        <w:tab w:val="right" w:pos="9360"/>
      </w:tabs>
    </w:pPr>
  </w:style>
  <w:style w:type="character" w:styleId="HeaderChar" w:customStyle="true">
    <w:name w:val="Header Char"/>
    <w:basedOn w:val="DefaultParagraphFont"/>
    <w:link w:val="Header"/>
    <w:uiPriority w:val="99"/>
    <w:rsid w:val="00841CD9"/>
  </w:style>
  <w:style w:type="character" w:styleId="Heading1Char" w:customStyle="true">
    <w:name w:val="Heading 1 Char"/>
    <w:basedOn w:val="DefaultParagraphFont"/>
    <w:link w:val="Heading1"/>
    <w:uiPriority w:val="9"/>
    <w:rsid w:val="00841CD9"/>
    <w:rPr>
      <w:rFonts w:asciiTheme="majorHAnsi" w:hAnsiTheme="majorHAnsi" w:eastAsiaTheme="majorEastAsia" w:cstheme="majorBidi"/>
      <w:b/>
      <w:bCs/>
      <w:color w:val="365F91" w:themeColor="accent1" w:themeShade="BF"/>
      <w:sz w:val="28"/>
      <w:szCs w:val="28"/>
    </w:rPr>
  </w:style>
  <w:style w:type="character" w:styleId="Heading2Char" w:customStyle="true">
    <w:name w:val="Heading 2 Char"/>
    <w:basedOn w:val="DefaultParagraphFont"/>
    <w:link w:val="Heading2"/>
    <w:uiPriority w:val="9"/>
    <w:rsid w:val="00841CD9"/>
    <w:rPr>
      <w:rFonts w:asciiTheme="majorHAnsi" w:hAnsiTheme="majorHAnsi" w:eastAsiaTheme="majorEastAsia" w:cstheme="majorBidi"/>
      <w:b/>
      <w:bCs/>
      <w:color w:val="4F81BD" w:themeColor="accent1"/>
      <w:sz w:val="26"/>
      <w:szCs w:val="26"/>
    </w:rPr>
  </w:style>
  <w:style w:type="character" w:styleId="Heading3Char" w:customStyle="true">
    <w:name w:val="Heading 3 Char"/>
    <w:basedOn w:val="DefaultParagraphFont"/>
    <w:link w:val="Heading3"/>
    <w:uiPriority w:val="9"/>
    <w:rsid w:val="00841CD9"/>
    <w:rPr>
      <w:rFonts w:asciiTheme="majorHAnsi" w:hAnsiTheme="majorHAnsi" w:eastAsiaTheme="majorEastAsia" w:cstheme="majorBidi"/>
      <w:b/>
      <w:bCs/>
      <w:color w:val="4F81BD" w:themeColor="accent1"/>
    </w:rPr>
  </w:style>
  <w:style w:type="character" w:styleId="Heading4Char" w:customStyle="true">
    <w:name w:val="Heading 4 Char"/>
    <w:basedOn w:val="DefaultParagraphFont"/>
    <w:link w:val="Heading4"/>
    <w:uiPriority w:val="9"/>
    <w:rsid w:val="00841CD9"/>
    <w:rPr>
      <w:rFonts w:asciiTheme="majorHAnsi" w:hAnsiTheme="majorHAnsi" w:eastAsiaTheme="majorEastAsia" w:cstheme="majorBidi"/>
      <w:b/>
      <w:bCs/>
      <w:i/>
      <w:iCs/>
      <w:color w:val="4F81BD" w:themeColor="accent1"/>
    </w:rPr>
  </w:style>
  <w:style w:type="paragraph" w:styleId="NormalIndent">
    <w:name w:val="Normal Indent"/>
    <w:basedOn w:val="Normal"/>
    <w:uiPriority w:val="99"/>
    <w:unhideWhenUsed/>
    <w:rsid w:val="00841CD9"/>
    <w:pPr>
      <w:ind w:left="720"/>
    </w:pPr>
  </w:style>
  <w:style w:type="paragraph" w:styleId="Subtitle">
    <w:name w:val="Subtitle"/>
    <w:basedOn w:val="Normal"/>
    <w:next w:val="Normal"/>
    <w:link w:val="SubtitleChar"/>
    <w:uiPriority w:val="11"/>
    <w:qFormat/>
    <w:rsid w:val="00841CD9"/>
    <w:pPr>
      <w:numPr>
        <w:ilvl w:val="1"/>
      </w:numPr>
      <w:ind w:left="86"/>
    </w:pPr>
    <w:rPr>
      <w:rFonts w:asciiTheme="majorHAnsi" w:hAnsiTheme="majorHAnsi" w:eastAsiaTheme="majorEastAsia" w:cstheme="majorBidi"/>
      <w:i/>
      <w:iCs/>
      <w:color w:val="4F81BD" w:themeColor="accent1"/>
      <w:spacing w:val="15"/>
      <w:sz w:val="24"/>
      <w:szCs w:val="24"/>
    </w:rPr>
  </w:style>
  <w:style w:type="character" w:styleId="SubtitleChar" w:customStyle="true">
    <w:name w:val="Subtitle Char"/>
    <w:basedOn w:val="DefaultParagraphFont"/>
    <w:link w:val="Subtitle"/>
    <w:uiPriority w:val="11"/>
    <w:rsid w:val="00841CD9"/>
    <w:rPr>
      <w:rFonts w:asciiTheme="majorHAnsi" w:hAnsiTheme="majorHAnsi" w:eastAsiaTheme="majorEastAsia" w:cstheme="majorBidi"/>
      <w:i/>
      <w:iCs/>
      <w:color w:val="4F81BD" w:themeColor="accent1"/>
      <w:spacing w:val="15"/>
      <w:sz w:val="24"/>
      <w:szCs w:val="24"/>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heme="majorHAnsi" w:hAnsiTheme="majorHAnsi" w:eastAsiaTheme="majorEastAsia" w:cstheme="majorBidi"/>
      <w:color w:val="17365D" w:themeColor="text2" w:themeShade="BF"/>
      <w:spacing w:val="5"/>
      <w:kern w:val="28"/>
      <w:sz w:val="52"/>
      <w:szCs w:val="52"/>
    </w:rPr>
  </w:style>
  <w:style w:type="character" w:styleId="TitleChar" w:customStyle="true">
    <w:name w:val="Title Char"/>
    <w:basedOn w:val="DefaultParagraphFont"/>
    <w:link w:val="Title"/>
    <w:uiPriority w:val="10"/>
    <w:rsid w:val="00841CD9"/>
    <w:rPr>
      <w:rFonts w:asciiTheme="majorHAnsi" w:hAnsiTheme="majorHAnsi" w:eastAsiaTheme="majorEastAsia" w:cstheme="majorBidi"/>
      <w:color w:val="17365D" w:themeColor="text2" w:themeShade="BF"/>
      <w:spacing w:val="5"/>
      <w:kern w:val="28"/>
      <w:sz w:val="52"/>
      <w:szCs w:val="52"/>
    </w:rPr>
  </w:style>
  <w:style w:type="character" w:styleId="Emphasis">
    <w:name w:val="Emphasis"/>
    <w:basedOn w:val="DefaultParagraphFont"/>
    <w:uiPriority w:val="20"/>
    <w:qFormat/>
    <w:rsid w:val="00D1197D"/>
    <w:rPr>
      <w:i/>
      <w:iCs/>
    </w:rPr>
  </w:style>
  <w:style w:type="character" w:styleId="Hyperlink">
    <w:name w:val="Hyperlink"/>
    <w:basedOn w:val="DefaultParagraphFont"/>
    <w:uiPriority w:val="99"/>
    <w:unhideWhenUsed/>
    <w:rPr>
      <w:color w:val="0000FF" w:themeColor="hyperlink"/>
      <w:u w:val="single"/>
    </w:rPr>
  </w:style>
  <w:style w:type="table" w:styleId="TableGrid">
    <w:name w:val="Table Grid"/>
    <w:basedOn w:val="TableNormal"/>
    <w:uiPriority w:val="59"/>
    <w:pPr>
      <w:spacing w:after="0" w:line="240" w:lineRule="auto"/>
    </w:p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b/>
      <w:bCs/>
      <w:color w:val="4F81BD" w:themeColor="accent1"/>
      <w:sz w:val="18"/>
      <w:szCs w:val="18"/>
    </w:rPr>
  </w:style>
</w:styles>
</file>

<file path=word/_rels/document.xml.rels><?xml version="1.0" encoding="UTF-8"?>
<Relationships xmlns="http://schemas.openxmlformats.org/package/2006/relationships">
   <Relationship Target="styles.xml" Type="http://schemas.openxmlformats.org/officeDocument/2006/relationships/styles" Id="rId1"/>
   <Relationship Target="settings.xml" Type="http://schemas.openxmlformats.org/officeDocument/2006/relationships/settings" Id="rId2"/>
   <Relationship Target="numbering.xml" Type="http://schemas.openxmlformats.org/officeDocument/2006/relationships/numbering" Id="rId3"/>
   <Relationship Target="media/document_image_rId4.png" Type="http://schemas.openxmlformats.org/officeDocument/2006/relationships/image" Id="rId4"/>
   <Relationship Target="media/document_image_rId5.jpeg" Type="http://schemas.openxmlformats.org/officeDocument/2006/relationships/image" Id="rId5"/>
   <Relationship Target="media/document_image_rId6.jpeg" Type="http://schemas.openxmlformats.org/officeDocument/2006/relationships/image" Id="rId6"/>
</Relationships>

</file>

<file path=docProps/app.xml><?xml version="1.0" encoding="utf-8"?>
<properties:Properties xmlns:vt="http://schemas.openxmlformats.org/officeDocument/2006/docPropsVTypes" xmlns:properties="http://schemas.openxmlformats.org/officeDocument/2006/extended-properties"/>
</file>

<file path=docProps/core.xml><?xml version="1.0" encoding="utf-8"?>
<cp:coreProperties xmlns:dcterms="http://purl.org/dc/terms/" xmlns:cp="http://schemas.openxmlformats.org/package/2006/metadata/core-properties" xmlns:dc="http://purl.org/dc/elements/1.1/"/>
</file>