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2025政治学与行政学专业-政治学-本博融通培养方案（普通学生适用）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政治学系拥有一支高水平的教学研究队伍，现有专职教师27名，其中教授15名，副教授6名，讲师和青年副研究员6名。教学研究方向涵盖政治学理论、中国政治、比较政治、政治哲学等多个领域，具体包括国家治理、政党政治、人大政治、协商政治、选举政治、社区政治、城市政治、族群政治、社会治理、环境治理、网络政治等重大主题。</w:t>
      </w:r>
      <w:r>
        <w:br/>
      </w:r>
      <w:r>
        <w:br/>
      </w:r>
      <w:r>
        <w:rPr>
          <w:rFonts w:ascii="SimSun" w:hAnsi="SimSun"/>
          <w:b w:val="false"/>
          <w:i w:val="false"/>
          <w:color w:val="000000"/>
          <w:sz w:val="21"/>
        </w:rPr>
        <w:t>政治学系设有政治学理论等二级学科博士点和硕士点以及政治学与行政学本科专业（国家级一流本科建设专业点），教师承担本科、硕士研究生、博士研究生课程70余门，教学研究队伍承担大量国家和上海市的社会科学研究课题、政策咨询课题，荣获众多国家和上海市教学成果奖、优秀学术成果奖，出版的各类著作和论文在国内外具有重大影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以马克思主义政治学基本原理和基本方法为指导，通过对马克思主义政治学理论、现代政治学理论、社会科学研究方法、学术伦理规范以及相关专业理论的系统研究和学习，培养政治立场坚定、对政治发展规律有着科学了解、学术研究能力强、学术视野宽广、能够承担政治学教学科研以及高层次管理工作的社会主义国家的高层次专业骨干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马克思主义基本原理和政治学、行政学、国际政治学和法学的基本理论知识；掌握辩证唯物主义和历史唯物主义的基本观点和分析方法；了解有关政治体制和决策过程以及党政管理法律、制度、方针、政策；熟练掌握一门外语；了解政治学及行政学、法学、国际政治学等相关学科的发展动态；掌握文献检索、资料查询和调查研究的基本方法和手段，具有较强的科学研究能力和领导管理能力。</w:t>
      </w:r>
      <w:r>
        <w:br/>
      </w:r>
      <w:r>
        <w:br/>
      </w:r>
      <w:r>
        <w:rPr>
          <w:rFonts w:ascii="SimSun" w:hAnsi="SimSun"/>
          <w:b w:val="false"/>
          <w:i w:val="false"/>
          <w:color w:val="000000"/>
          <w:sz w:val="21"/>
        </w:rPr>
        <w:t xml:space="preserve">        科学研究能力与水平的基本要求：</w:t>
      </w:r>
      <w:r>
        <w:br/>
      </w:r>
      <w:r>
        <w:br/>
      </w:r>
      <w:r>
        <w:rPr>
          <w:rFonts w:ascii="SimSun" w:hAnsi="SimSun"/>
          <w:b w:val="false"/>
          <w:i w:val="false"/>
          <w:color w:val="000000"/>
          <w:sz w:val="21"/>
        </w:rPr>
        <w:t>（1）具有扎实而深厚的专业理论基础和较强的分析能力；</w:t>
      </w:r>
      <w:r>
        <w:br/>
      </w:r>
      <w:r>
        <w:br/>
      </w:r>
      <w:r>
        <w:rPr>
          <w:rFonts w:ascii="SimSun" w:hAnsi="SimSun"/>
          <w:b w:val="false"/>
          <w:i w:val="false"/>
          <w:color w:val="000000"/>
          <w:sz w:val="21"/>
        </w:rPr>
        <w:t>（2）对所在二级学科内的前沿理论问题有深入的了解，对所在一级学科领域内的其他理论问题有相当程度的了解；</w:t>
      </w:r>
      <w:r>
        <w:br/>
      </w:r>
      <w:r>
        <w:br/>
      </w:r>
      <w:r>
        <w:rPr>
          <w:rFonts w:ascii="SimSun" w:hAnsi="SimSun"/>
          <w:b w:val="false"/>
          <w:i w:val="false"/>
          <w:color w:val="000000"/>
          <w:sz w:val="21"/>
        </w:rPr>
        <w:t>（3）能够作为本学科领域的学术研究骨干从事并带动其他人开展专题学术研究；</w:t>
      </w:r>
      <w:r>
        <w:br/>
      </w:r>
      <w:r>
        <w:br/>
      </w:r>
      <w:r>
        <w:rPr>
          <w:rFonts w:ascii="SimSun" w:hAnsi="SimSun"/>
          <w:b w:val="false"/>
          <w:i w:val="false"/>
          <w:color w:val="000000"/>
          <w:sz w:val="21"/>
        </w:rPr>
        <w:t>（4）能运用第一外语阅读原著和写作专业论文；</w:t>
      </w:r>
      <w:r>
        <w:br/>
      </w:r>
      <w:r>
        <w:br/>
      </w:r>
      <w:r>
        <w:rPr>
          <w:rFonts w:ascii="SimSun" w:hAnsi="SimSun"/>
          <w:b w:val="false"/>
          <w:i w:val="false"/>
          <w:color w:val="000000"/>
          <w:sz w:val="21"/>
        </w:rPr>
        <w:t>（5）博士学位论文答辩后经过修改能够达到高水平出版社的出版要求；</w:t>
      </w:r>
      <w:r>
        <w:br/>
      </w:r>
      <w:r>
        <w:br/>
      </w:r>
      <w:r>
        <w:rPr>
          <w:rFonts w:ascii="SimSun" w:hAnsi="SimSun"/>
          <w:b w:val="false"/>
          <w:i w:val="false"/>
          <w:color w:val="000000"/>
          <w:sz w:val="21"/>
        </w:rPr>
        <w:t>（6）能够在本专业范围内独立地开设二门以上基础课和一门以上的新课。</w:t>
      </w:r>
    </w:p>
    <w:p>
      <w:pPr>
        <w:spacing w:after="0"/>
        <w:ind w:left="0"/>
        <w:jc w:val="left"/>
      </w:pPr>
      <w:r>
        <w:drawing>
          <wp:inline distT="0" distB="0" distL="0" distR="0">
            <wp:extent cx="50630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政治学与行政学专业本科“2+X+Y”培养方案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政治学与行政学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博期间必须修满教学计划规定的169学分（含实践学分不低于25.5学分；含美育学分不少于2学分，其中至少在“美学和艺术史论类”或“艺术鉴赏和评论类”课程中修读1学分，并至少参与一项艺术实践活动；劳动教育不少于32学时，并满足劳动周教育要求），包括通识教育课程43学分（其中研究生学位课2学分）、全球领导力课程57学分、本研融通衔接课程25学分、硕博高阶课程模块30学分，满足融合创新能力模块要求的修读。</w:t>
      </w:r>
      <w:r>
        <w:br/>
      </w:r>
      <w:r>
        <w:br/>
      </w:r>
      <w:r>
        <w:rPr>
          <w:rFonts w:ascii="SimSun" w:hAnsi="SimSun"/>
          <w:b w:val="false"/>
          <w:i w:val="false"/>
          <w:color w:val="000000"/>
          <w:sz w:val="21"/>
        </w:rPr>
        <w:t>其中，本科学段需要完成133学分，包括通识教育课程41学分、全球领导力课程57学分，同时满足融合创新能力模块要求的修读。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四年级结束时，如达到学位要求者授予法学学士学位。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1、达到博士学位要求者授予法学博士学位。 </w:t>
      </w:r>
      <w:r>
        <w:br/>
      </w:r>
      <w:r>
        <w:br/>
      </w:r>
      <w:r>
        <w:rPr>
          <w:rFonts w:ascii="SimSun" w:hAnsi="SimSun"/>
          <w:b w:val="false"/>
          <w:i w:val="false"/>
          <w:color w:val="000000"/>
          <w:sz w:val="21"/>
        </w:rPr>
        <w:t>（1）博士学位申请人提出学位论文答辩申请时，必须已修满学校规定的学分；所有修读课程成绩合格，其中学位课程平均绩点原则上不低于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（2）具体参照《复旦大学学位授予工作细则》《复旦大学博士学位基本要求》或所属一级学科或专业学位类别的《学位授予标准》及院系相关文件规定执行。</w:t>
      </w:r>
      <w:r>
        <w:br/>
      </w:r>
      <w:r>
        <w:br/>
      </w:r>
      <w:r>
        <w:rPr>
          <w:rFonts w:ascii="SimSun" w:hAnsi="SimSun"/>
          <w:b w:val="false"/>
          <w:i w:val="false"/>
          <w:color w:val="000000"/>
          <w:sz w:val="21"/>
        </w:rPr>
        <w:t>2、研究生学段主动退出和博士生资格考核不合格退出本博融通计划的学生，需按照公共管理本硕融通培养方案修读课程，如达到硕士学位要求者授予管理学硕士学位。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以3门高难度、大学分的荣誉课程为基础建立了本研融通的专业核心课程体系，以学科领域为横、课程内容梯度为纵建立了难度逐级提升的本研融通的专业进阶课程体系。                              </w:t>
      </w:r>
      <w:r>
        <w:br/>
      </w:r>
      <w:r>
        <w:br/>
      </w:r>
      <w:r>
        <w:rPr>
          <w:rFonts w:ascii="SimSun" w:hAnsi="SimSun"/>
          <w:b w:val="false"/>
          <w:i w:val="false"/>
          <w:color w:val="000000"/>
          <w:sz w:val="21"/>
        </w:rPr>
        <w:t xml:space="preserve">2.科研训练体系                                        </w:t>
      </w:r>
      <w:r>
        <w:br/>
      </w:r>
      <w:r>
        <w:br/>
      </w:r>
      <w:r>
        <w:rPr>
          <w:rFonts w:ascii="SimSun" w:hAnsi="SimSun"/>
          <w:b w:val="false"/>
          <w:i w:val="false"/>
          <w:color w:val="000000"/>
          <w:sz w:val="21"/>
        </w:rPr>
        <w:t>本博导师组式学术创新训练体系旨在整合优质学术资源，推动学生课堂外学术参与、学术训练制度化、规范化，促进本博融通轨道学生熟悉研究规范，培养研究兴趣，提升科研能力，构建全链条长周期学术科研培养支持体系。</w:t>
      </w:r>
      <w:r>
        <w:br/>
      </w:r>
      <w:r>
        <w:br/>
      </w:r>
      <w:r>
        <w:rPr>
          <w:rFonts w:ascii="SimSun" w:hAnsi="SimSun"/>
          <w:b w:val="false"/>
          <w:i w:val="false"/>
          <w:color w:val="000000"/>
          <w:sz w:val="21"/>
        </w:rPr>
        <w:t>·本科阶段培养设计</w:t>
      </w:r>
      <w:r>
        <w:br/>
      </w:r>
      <w:r>
        <w:br/>
      </w:r>
      <w:r>
        <w:rPr>
          <w:rFonts w:ascii="SimSun" w:hAnsi="SimSun"/>
          <w:b w:val="false"/>
          <w:i w:val="false"/>
          <w:color w:val="000000"/>
          <w:sz w:val="21"/>
        </w:rPr>
        <w:t>本科阶段将FDUROP（复旦大学本科生学术研究资助计划）、国务学院“薪火计划”列为本博融通轨道学生必修项目。学生可择其一进行修读。</w:t>
      </w:r>
      <w:r>
        <w:br/>
      </w:r>
      <w:r>
        <w:br/>
      </w:r>
      <w:r>
        <w:rPr>
          <w:rFonts w:ascii="SimSun" w:hAnsi="SimSun"/>
          <w:b w:val="false"/>
          <w:i w:val="false"/>
          <w:color w:val="000000"/>
          <w:sz w:val="21"/>
        </w:rPr>
        <w:t>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w:t>
      </w:r>
      <w:r>
        <w:br/>
      </w:r>
      <w:r>
        <w:br/>
      </w:r>
      <w:r>
        <w:rPr>
          <w:rFonts w:ascii="SimSun" w:hAnsi="SimSun"/>
          <w:b w:val="false"/>
          <w:i w:val="false"/>
          <w:color w:val="000000"/>
          <w:sz w:val="21"/>
        </w:rPr>
        <w:t>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w:t>
      </w:r>
      <w:r>
        <w:br/>
      </w:r>
      <w:r>
        <w:br/>
      </w:r>
      <w:r>
        <w:rPr>
          <w:rFonts w:ascii="SimSun" w:hAnsi="SimSun"/>
          <w:b w:val="false"/>
          <w:i w:val="false"/>
          <w:color w:val="000000"/>
          <w:sz w:val="21"/>
        </w:rPr>
        <w:t>修读方式二：学生在本科阶段第三学年末或第四学年初规定时间前至少完成1项国务“薪火计划”教师课题（一年期以上）。完成认定以教师课题负责人出具的证明材料为准。</w:t>
      </w:r>
      <w:r>
        <w:br/>
      </w:r>
      <w:r>
        <w:br/>
      </w: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r>
        <w:br/>
      </w:r>
      <w:r>
        <w:br/>
      </w:r>
      <w:r>
        <w:rPr>
          <w:rFonts w:ascii="SimSun" w:hAnsi="SimSun"/>
          <w:b w:val="false"/>
          <w:i w:val="false"/>
          <w:color w:val="000000"/>
          <w:sz w:val="21"/>
        </w:rPr>
        <w:t>·博士研究生阶段培养设计</w:t>
      </w:r>
      <w:r>
        <w:br/>
      </w:r>
      <w:r>
        <w:br/>
      </w:r>
      <w:r>
        <w:rPr>
          <w:rFonts w:ascii="SimSun" w:hAnsi="SimSun"/>
          <w:b w:val="false"/>
          <w:i w:val="false"/>
          <w:color w:val="000000"/>
          <w:sz w:val="21"/>
        </w:rPr>
        <w:t>博士研究生阶段将参与学院重大科研项目作为本博融通轨道学生必修项目。学院重大科研项目具体认定标准由学院另行规定。</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以3门高难度、大学分的荣誉课程为基础建立了本研融通的专业核心课程体系，以学科领域为横、课程内容梯度为纵建立了难度逐级提升的本研融通的专业进阶课程体系。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本博导师组式学术创新训练体系旨在整合优质学术资源，推动学生课堂外学术参与、学术训练制度化、规范化，促进本博融通轨道学生熟悉研究规范，培养研究兴趣，提升科研能力，构建全链条长周期学术科研培养支持体系。</w:t>
      </w:r>
    </w:p>
    <w:p>
      <w:pPr>
        <w:spacing w:after="0"/>
        <w:ind w:left="0"/>
        <w:jc w:val="left"/>
      </w:pPr>
      <w:r>
        <w:rPr>
          <w:rFonts w:ascii="SimSun" w:hAnsi="SimSun"/>
          <w:b w:val="false"/>
          <w:i w:val="false"/>
          <w:color w:val="000000"/>
          <w:sz w:val="21"/>
        </w:rPr>
        <w:t>1.本科阶段培养设计</w:t>
      </w:r>
    </w:p>
    <w:p>
      <w:pPr>
        <w:spacing w:after="0"/>
        <w:ind w:left="0"/>
        <w:jc w:val="left"/>
      </w:pPr>
      <w:r>
        <w:rPr>
          <w:rFonts w:ascii="SimSun" w:hAnsi="SimSun"/>
          <w:b w:val="false"/>
          <w:i w:val="false"/>
          <w:color w:val="000000"/>
          <w:sz w:val="21"/>
        </w:rPr>
        <w:t>本科阶段将FDUROP（复旦大学本科生学术研究资助计划）、国务学院“薪火计划”列为本博融通轨道学生必修项目。学生可择其一进行修读。</w:t>
      </w:r>
    </w:p>
    <w:p>
      <w:pPr>
        <w:spacing w:after="0"/>
        <w:ind w:left="0"/>
        <w:jc w:val="left"/>
      </w:pPr>
      <w:r>
        <w:rPr>
          <w:rFonts w:ascii="SimSun" w:hAnsi="SimSun"/>
          <w:b w:val="false"/>
          <w:i w:val="false"/>
          <w:color w:val="000000"/>
          <w:sz w:val="21"/>
        </w:rPr>
        <w:t>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w:t>
      </w:r>
    </w:p>
    <w:p>
      <w:pPr>
        <w:spacing w:after="0"/>
        <w:ind w:left="0"/>
        <w:jc w:val="left"/>
      </w:pPr>
      <w:r>
        <w:rPr>
          <w:rFonts w:ascii="SimSun" w:hAnsi="SimSun"/>
          <w:b w:val="false"/>
          <w:i w:val="false"/>
          <w:color w:val="000000"/>
          <w:sz w:val="21"/>
        </w:rPr>
        <w:t>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w:t>
      </w:r>
    </w:p>
    <w:p>
      <w:pPr>
        <w:spacing w:after="0"/>
        <w:ind w:left="0"/>
        <w:jc w:val="left"/>
      </w:pPr>
      <w:r>
        <w:rPr>
          <w:rFonts w:ascii="SimSun" w:hAnsi="SimSun"/>
          <w:b w:val="false"/>
          <w:i w:val="false"/>
          <w:color w:val="000000"/>
          <w:sz w:val="21"/>
        </w:rPr>
        <w:t>修读方式二：学生在本科阶段第三学年末或第四学年初规定时间前至少完成1项国务“薪火计划”教师课题（一年期以上）。完成认定以教师课题负责人出具的证明材料为准。</w:t>
      </w:r>
    </w:p>
    <w:p>
      <w:pPr>
        <w:spacing w:after="0"/>
        <w:ind w:left="0"/>
        <w:jc w:val="left"/>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p>
      <w:pPr>
        <w:spacing w:after="0"/>
        <w:ind w:left="0"/>
        <w:jc w:val="left"/>
      </w:pPr>
      <w:r>
        <w:rPr>
          <w:rFonts w:ascii="SimSun" w:hAnsi="SimSun"/>
          <w:b w:val="false"/>
          <w:i w:val="false"/>
          <w:color w:val="000000"/>
          <w:sz w:val="21"/>
        </w:rPr>
        <w:t>2.博士研究生阶段培养设计</w:t>
      </w:r>
    </w:p>
    <w:p>
      <w:pPr>
        <w:spacing w:after="0"/>
        <w:ind w:left="0"/>
        <w:jc w:val="left"/>
      </w:pP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（29学分,本科要求29学分）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中国政治思想史</w:t>
            </w:r>
            <w:r>
              <w:br/>
            </w:r>
            <w:r>
              <w:br/>
            </w:r>
            <w:r>
              <w:rPr>
                <w:rFonts w:ascii="SimSun" w:hAnsi="SimSun"/>
                <w:b w:val="false"/>
                <w:i w:val="false"/>
                <w:color w:val="000000"/>
                <w:sz w:val="21"/>
              </w:rPr>
              <w:t>History of Chinese Political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中国政治制度史</w:t>
            </w:r>
            <w:r>
              <w:br/>
            </w:r>
            <w:r>
              <w:br/>
            </w:r>
            <w:r>
              <w:rPr>
                <w:rFonts w:ascii="SimSun" w:hAnsi="SimSun"/>
                <w:b w:val="false"/>
                <w:i w:val="false"/>
                <w:color w:val="000000"/>
                <w:sz w:val="21"/>
              </w:rPr>
              <w:t>History of the Chinese Political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中国社会政治分析</w:t>
            </w:r>
            <w:r>
              <w:br/>
            </w:r>
            <w:r>
              <w:br/>
            </w:r>
            <w:r>
              <w:rPr>
                <w:rFonts w:ascii="SimSun" w:hAnsi="SimSun"/>
                <w:b w:val="false"/>
                <w:i w:val="false"/>
                <w:color w:val="000000"/>
                <w:sz w:val="21"/>
              </w:rPr>
              <w:t>Political Analysis of Chinese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西方政治思想史（上）</w:t>
            </w:r>
            <w:r>
              <w:br/>
            </w:r>
            <w:r>
              <w:br/>
            </w:r>
            <w:r>
              <w:rPr>
                <w:rFonts w:ascii="SimSun" w:hAnsi="SimSun"/>
                <w:b w:val="false"/>
                <w:i w:val="false"/>
                <w:color w:val="000000"/>
                <w:sz w:val="21"/>
              </w:rPr>
              <w:t>History of Western Political Thought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西方政治思想史（下）</w:t>
            </w:r>
            <w:r>
              <w:br/>
            </w:r>
            <w:r>
              <w:br/>
            </w:r>
            <w:r>
              <w:rPr>
                <w:rFonts w:ascii="SimSun" w:hAnsi="SimSun"/>
                <w:b w:val="false"/>
                <w:i w:val="false"/>
                <w:color w:val="000000"/>
                <w:sz w:val="21"/>
              </w:rPr>
              <w:t>History of Western Political Thought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当代西方政治学</w:t>
            </w:r>
            <w:r>
              <w:br/>
            </w:r>
            <w:r>
              <w:br/>
            </w:r>
            <w:r>
              <w:rPr>
                <w:rFonts w:ascii="SimSun" w:hAnsi="SimSun"/>
                <w:b w:val="false"/>
                <w:i w:val="false"/>
                <w:color w:val="000000"/>
                <w:sz w:val="21"/>
              </w:rPr>
              <w:t>Western Political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国家理论研究</w:t>
            </w:r>
            <w:r>
              <w:br/>
            </w:r>
            <w:r>
              <w:br/>
            </w:r>
            <w:r>
              <w:rPr>
                <w:rFonts w:ascii="SimSun" w:hAnsi="SimSun"/>
                <w:b w:val="false"/>
                <w:i w:val="false"/>
                <w:color w:val="000000"/>
                <w:sz w:val="21"/>
              </w:rPr>
              <w:t>Study of State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比较政治学导论</w:t>
            </w:r>
            <w:r>
              <w:br/>
            </w:r>
            <w:r>
              <w:br/>
            </w:r>
            <w:r>
              <w:rPr>
                <w:rFonts w:ascii="SimSun" w:hAnsi="SimSun"/>
                <w:b w:val="false"/>
                <w:i w:val="false"/>
                <w:color w:val="000000"/>
                <w:sz w:val="21"/>
              </w:rPr>
              <w:t>Introduction to Comparative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包括本博学术创新衔接课程包，博士学术创新高阶课程模块，按路径要求修读课程。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（25学分,本科要求10学分）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I.本博学术创新衔接课程包（25学分）。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政治修辞学</w:t>
            </w:r>
            <w:r>
              <w:br/>
            </w:r>
            <w:r>
              <w:br/>
            </w:r>
            <w:r>
              <w:rPr>
                <w:rFonts w:ascii="SimSun" w:hAnsi="SimSun"/>
                <w:b w:val="false"/>
                <w:i w:val="false"/>
                <w:color w:val="000000"/>
                <w:sz w:val="21"/>
              </w:rPr>
              <w:t>Political Rhetoric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发展政治学</w:t>
            </w:r>
            <w:r>
              <w:br/>
            </w:r>
            <w:r>
              <w:br/>
            </w:r>
            <w:r>
              <w:rPr>
                <w:rFonts w:ascii="SimSun" w:hAnsi="SimSun"/>
                <w:b w:val="false"/>
                <w:i w:val="false"/>
                <w:color w:val="000000"/>
                <w:sz w:val="21"/>
              </w:rPr>
              <w:t>Politics of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西方政治史经典选读</w:t>
            </w:r>
            <w:r>
              <w:br/>
            </w:r>
            <w:r>
              <w:br/>
            </w:r>
            <w:r>
              <w:rPr>
                <w:rFonts w:ascii="SimSun" w:hAnsi="SimSun"/>
                <w:b w:val="false"/>
                <w:i w:val="false"/>
                <w:color w:val="000000"/>
                <w:sz w:val="21"/>
              </w:rPr>
              <w:t>Canons of Western Political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比较政党制度</w:t>
            </w:r>
            <w:r>
              <w:br/>
            </w:r>
            <w:r>
              <w:br/>
            </w:r>
            <w:r>
              <w:rPr>
                <w:rFonts w:ascii="SimSun" w:hAnsi="SimSun"/>
                <w:b w:val="false"/>
                <w:i w:val="false"/>
                <w:color w:val="000000"/>
                <w:sz w:val="21"/>
              </w:rPr>
              <w:t>Comparative Study of Party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比较宪法</w:t>
            </w:r>
            <w:r>
              <w:br/>
            </w:r>
            <w:r>
              <w:br/>
            </w:r>
            <w:r>
              <w:rPr>
                <w:rFonts w:ascii="SimSun" w:hAnsi="SimSun"/>
                <w:b w:val="false"/>
                <w:i w:val="false"/>
                <w:color w:val="000000"/>
                <w:sz w:val="21"/>
              </w:rPr>
              <w:t>Comparative Constitution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比较政治经济分析</w:t>
            </w:r>
            <w:r>
              <w:br/>
            </w:r>
            <w:r>
              <w:br/>
            </w:r>
            <w:r>
              <w:rPr>
                <w:rFonts w:ascii="SimSun" w:hAnsi="SimSun"/>
                <w:b w:val="false"/>
                <w:i w:val="false"/>
                <w:color w:val="000000"/>
                <w:sz w:val="21"/>
              </w:rPr>
              <w:t>Comparative Political Economy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选举政治学</w:t>
            </w:r>
            <w:r>
              <w:br/>
            </w:r>
            <w:r>
              <w:br/>
            </w:r>
            <w:r>
              <w:rPr>
                <w:rFonts w:ascii="SimSun" w:hAnsi="SimSun"/>
                <w:b w:val="false"/>
                <w:i w:val="false"/>
                <w:color w:val="000000"/>
                <w:sz w:val="21"/>
              </w:rPr>
              <w:t>Electoral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政治人类学导论</w:t>
            </w:r>
            <w:r>
              <w:br/>
            </w:r>
            <w:r>
              <w:br/>
            </w:r>
            <w:r>
              <w:rPr>
                <w:rFonts w:ascii="SimSun" w:hAnsi="SimSun"/>
                <w:b w:val="false"/>
                <w:i w:val="false"/>
                <w:color w:val="000000"/>
                <w:sz w:val="21"/>
              </w:rPr>
              <w:t>Introduction to Political Anthropology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政治心理学</w:t>
            </w:r>
            <w:r>
              <w:br/>
            </w:r>
            <w:r>
              <w:br/>
            </w:r>
            <w:r>
              <w:rPr>
                <w:rFonts w:ascii="SimSun" w:hAnsi="SimSun"/>
                <w:b w:val="false"/>
                <w:i w:val="false"/>
                <w:color w:val="000000"/>
                <w:sz w:val="21"/>
              </w:rPr>
              <w:t>Political Psychology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政治传播学</w:t>
            </w:r>
            <w:r>
              <w:br/>
            </w:r>
            <w:r>
              <w:br/>
            </w:r>
            <w:r>
              <w:rPr>
                <w:rFonts w:ascii="SimSun" w:hAnsi="SimSun"/>
                <w:b w:val="false"/>
                <w:i w:val="false"/>
                <w:color w:val="000000"/>
                <w:sz w:val="21"/>
              </w:rPr>
              <w:t>Political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地方政府与治理</w:t>
            </w:r>
            <w:r>
              <w:br/>
            </w:r>
            <w:r>
              <w:br/>
            </w:r>
            <w:r>
              <w:rPr>
                <w:rFonts w:ascii="SimSun" w:hAnsi="SimSun"/>
                <w:b w:val="false"/>
                <w:i w:val="false"/>
                <w:color w:val="000000"/>
                <w:sz w:val="21"/>
              </w:rPr>
              <w:t>Local Government and Local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福利政治</w:t>
            </w:r>
            <w:r>
              <w:br/>
            </w:r>
            <w:r>
              <w:br/>
            </w:r>
            <w:r>
              <w:rPr>
                <w:rFonts w:ascii="SimSun" w:hAnsi="SimSun"/>
                <w:b w:val="false"/>
                <w:i w:val="false"/>
                <w:color w:val="000000"/>
                <w:sz w:val="21"/>
              </w:rPr>
              <w:t>Welfare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II.博士学术创新高阶课程模块（30学分）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马克思主义政治学经典文献选读</w:t>
            </w:r>
            <w:r>
              <w:br/>
            </w:r>
            <w:r>
              <w:br/>
            </w:r>
            <w:r>
              <w:rPr>
                <w:rFonts w:ascii="SimSun" w:hAnsi="SimSun"/>
                <w:b w:val="false"/>
                <w:i w:val="false"/>
                <w:color w:val="000000"/>
                <w:sz w:val="21"/>
              </w:rPr>
              <w:t>Selected Readings of Classic Literature on Marxist Political Science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当代中国政治行政经典文献选读</w:t>
            </w:r>
            <w:r>
              <w:br/>
            </w:r>
            <w:r>
              <w:br/>
            </w:r>
            <w:r>
              <w:rPr>
                <w:rFonts w:ascii="SimSun" w:hAnsi="SimSun"/>
                <w:b w:val="false"/>
                <w:i w:val="false"/>
                <w:color w:val="000000"/>
                <w:sz w:val="21"/>
              </w:rPr>
              <w:t>Classic Literature on Contemporary Chinese Politics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Essay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比较政治学前沿理论</w:t>
            </w:r>
            <w:r>
              <w:br/>
            </w:r>
            <w:r>
              <w:br/>
            </w:r>
            <w:r>
              <w:rPr>
                <w:rFonts w:ascii="SimSun" w:hAnsi="SimSun"/>
                <w:b w:val="false"/>
                <w:i w:val="false"/>
                <w:color w:val="000000"/>
                <w:sz w:val="21"/>
              </w:rPr>
              <w:t>Frontier Theories in Comparative Politics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国外政治经典名著选读</w:t>
            </w:r>
            <w:r>
              <w:br/>
            </w:r>
            <w:r>
              <w:br/>
            </w:r>
            <w:r>
              <w:rPr>
                <w:rFonts w:ascii="SimSun" w:hAnsi="SimSun"/>
                <w:b w:val="false"/>
                <w:i w:val="false"/>
                <w:color w:val="000000"/>
                <w:sz w:val="21"/>
              </w:rPr>
              <w:t>Selected Readings for Foreign Political Masterpiece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比较政治制度专题研究</w:t>
            </w:r>
            <w:r>
              <w:br/>
            </w:r>
            <w:r>
              <w:br/>
            </w:r>
            <w:r>
              <w:rPr>
                <w:rFonts w:ascii="SimSun" w:hAnsi="SimSun"/>
                <w:b w:val="false"/>
                <w:i w:val="false"/>
                <w:color w:val="000000"/>
                <w:sz w:val="21"/>
              </w:rPr>
              <w:t>Advanced Studies on Comparative Political Institutional Studies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比较政治经济学专题研究</w:t>
            </w:r>
            <w:r>
              <w:br/>
            </w:r>
            <w:r>
              <w:br/>
            </w:r>
            <w:r>
              <w:rPr>
                <w:rFonts w:ascii="SimSun" w:hAnsi="SimSun"/>
                <w:b w:val="false"/>
                <w:i w:val="false"/>
                <w:color w:val="000000"/>
                <w:sz w:val="21"/>
              </w:rPr>
              <w:t>Advanced Studies on Comparative Political Economy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政治哲学专题研究</w:t>
            </w:r>
            <w:r>
              <w:br/>
            </w:r>
            <w:r>
              <w:br/>
            </w:r>
            <w:r>
              <w:rPr>
                <w:rFonts w:ascii="SimSun" w:hAnsi="SimSun"/>
                <w:b w:val="false"/>
                <w:i w:val="false"/>
                <w:color w:val="000000"/>
                <w:sz w:val="21"/>
              </w:rPr>
              <w:t>Advanced Studies on Political Philosophy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中国社会政治分析专题研究</w:t>
            </w:r>
            <w:r>
              <w:br/>
            </w:r>
            <w:r>
              <w:br/>
            </w:r>
            <w:r>
              <w:rPr>
                <w:rFonts w:ascii="SimSun" w:hAnsi="SimSun"/>
                <w:b w:val="false"/>
                <w:i w:val="false"/>
                <w:color w:val="000000"/>
                <w:sz w:val="21"/>
              </w:rPr>
              <w:t>Advanced Studies on Chinese Politics and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当代中国政府与政治专题研究</w:t>
            </w:r>
            <w:r>
              <w:br/>
            </w:r>
            <w:r>
              <w:br/>
            </w:r>
            <w:r>
              <w:rPr>
                <w:rFonts w:ascii="SimSun" w:hAnsi="SimSun"/>
                <w:b w:val="false"/>
                <w:i w:val="false"/>
                <w:color w:val="000000"/>
                <w:sz w:val="21"/>
              </w:rPr>
              <w:t>Advanced Studies on Government and Politics in Contemporary China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中国式现代化研究</w:t>
            </w:r>
            <w:r>
              <w:br/>
            </w:r>
            <w:r>
              <w:br/>
            </w:r>
            <w:r>
              <w:rPr>
                <w:rFonts w:ascii="SimSun" w:hAnsi="SimSun"/>
                <w:b w:val="false"/>
                <w:i w:val="false"/>
                <w:color w:val="000000"/>
                <w:sz w:val="21"/>
              </w:rPr>
              <w:t>Research on the Chinese Path to Modernization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当代中国政治学发展专题研究</w:t>
            </w:r>
            <w:r>
              <w:br/>
            </w:r>
            <w:r>
              <w:br/>
            </w:r>
            <w:r>
              <w:rPr>
                <w:rFonts w:ascii="SimSun" w:hAnsi="SimSun"/>
                <w:b w:val="false"/>
                <w:i w:val="false"/>
                <w:color w:val="000000"/>
                <w:sz w:val="21"/>
              </w:rPr>
              <w:t>Advanced Studies on the Development of Political Science in Contemporary China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中国古代政治名著选读</w:t>
            </w:r>
            <w:r>
              <w:br/>
            </w:r>
            <w:r>
              <w:br/>
            </w:r>
            <w:r>
              <w:rPr>
                <w:rFonts w:ascii="SimSun" w:hAnsi="SimSun"/>
                <w:b w:val="false"/>
                <w:i w:val="false"/>
                <w:color w:val="000000"/>
                <w:sz w:val="21"/>
              </w:rPr>
              <w:t>Selected Readings in Classical Chinese Political Texts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中国古代行政区划专题研究</w:t>
            </w:r>
            <w:r>
              <w:br/>
            </w:r>
            <w:r>
              <w:br/>
            </w:r>
            <w:r>
              <w:rPr>
                <w:rFonts w:ascii="SimSun" w:hAnsi="SimSun"/>
                <w:b w:val="false"/>
                <w:i w:val="false"/>
                <w:color w:val="000000"/>
                <w:sz w:val="21"/>
              </w:rPr>
              <w:t>Monographic Study on Administrative Divisions in Ancient China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区域发展与地方治理专题研究</w:t>
            </w:r>
            <w:r>
              <w:br/>
            </w:r>
            <w:r>
              <w:br/>
            </w:r>
            <w:r>
              <w:rPr>
                <w:rFonts w:ascii="SimSun" w:hAnsi="SimSun"/>
                <w:b w:val="false"/>
                <w:i w:val="false"/>
                <w:color w:val="000000"/>
                <w:sz w:val="21"/>
              </w:rPr>
              <w:t>Advanced Studies on Regional Development and Local Governance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政治文化专题研究</w:t>
            </w:r>
            <w:r>
              <w:br/>
            </w:r>
            <w:r>
              <w:br/>
            </w:r>
            <w:r>
              <w:rPr>
                <w:rFonts w:ascii="SimSun" w:hAnsi="SimSun"/>
                <w:b w:val="false"/>
                <w:i w:val="false"/>
                <w:color w:val="000000"/>
                <w:sz w:val="21"/>
              </w:rPr>
              <w:t>Advanced Studies on Political Culture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环境政治学专题研究</w:t>
            </w:r>
            <w:r>
              <w:br/>
            </w:r>
            <w:r>
              <w:br/>
            </w:r>
            <w:r>
              <w:rPr>
                <w:rFonts w:ascii="SimSun" w:hAnsi="SimSun"/>
                <w:b w:val="false"/>
                <w:i w:val="false"/>
                <w:color w:val="000000"/>
                <w:sz w:val="21"/>
              </w:rPr>
              <w:t>Advanced Studies on Environmental Politics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美国宪法与政治专题研究</w:t>
            </w:r>
            <w:r>
              <w:br/>
            </w:r>
            <w:r>
              <w:br/>
            </w:r>
            <w:r>
              <w:rPr>
                <w:rFonts w:ascii="SimSun" w:hAnsi="SimSun"/>
                <w:b w:val="false"/>
                <w:i w:val="false"/>
                <w:color w:val="000000"/>
                <w:sz w:val="21"/>
              </w:rPr>
              <w:t>Advanced Studies on U.S. Constitution and Politics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POLI80001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非洲政治与对外关系</w:t>
            </w:r>
            <w:r>
              <w:br/>
            </w:r>
            <w:r>
              <w:br/>
            </w:r>
            <w:r>
              <w:rPr>
                <w:rFonts w:ascii="SimSun" w:hAnsi="SimSun"/>
                <w:b w:val="false"/>
                <w:i w:val="false"/>
                <w:color w:val="000000"/>
                <w:sz w:val="21"/>
              </w:rPr>
              <w:t>The Politics and External Relations in Africa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当代世界政治思潮专题研究</w:t>
            </w:r>
            <w:r>
              <w:br/>
            </w:r>
            <w:r>
              <w:br/>
            </w:r>
            <w:r>
              <w:rPr>
                <w:rFonts w:ascii="SimSun" w:hAnsi="SimSun"/>
                <w:b w:val="false"/>
                <w:i w:val="false"/>
                <w:color w:val="000000"/>
                <w:sz w:val="21"/>
              </w:rPr>
              <w:t>Advanced Studies on the Contemporary World Political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美国专题研究</w:t>
            </w:r>
            <w:r>
              <w:br/>
            </w:r>
            <w:r>
              <w:br/>
            </w:r>
            <w:r>
              <w:rPr>
                <w:rFonts w:ascii="SimSun" w:hAnsi="SimSun"/>
                <w:b w:val="false"/>
                <w:i w:val="false"/>
                <w:color w:val="000000"/>
                <w:sz w:val="21"/>
              </w:rPr>
              <w:t>Advanced Studies on America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欧洲专题研究</w:t>
            </w:r>
            <w:r>
              <w:br/>
            </w:r>
            <w:r>
              <w:br/>
            </w:r>
            <w:r>
              <w:rPr>
                <w:rFonts w:ascii="SimSun" w:hAnsi="SimSun"/>
                <w:b w:val="false"/>
                <w:i w:val="false"/>
                <w:color w:val="000000"/>
                <w:sz w:val="21"/>
              </w:rPr>
              <w:t>Advanced Studies on European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全球南方专题研究</w:t>
            </w:r>
            <w:r>
              <w:br/>
            </w:r>
            <w:r>
              <w:br/>
            </w:r>
            <w:r>
              <w:rPr>
                <w:rFonts w:ascii="SimSun" w:hAnsi="SimSun"/>
                <w:b w:val="false"/>
                <w:i w:val="false"/>
                <w:color w:val="000000"/>
                <w:sz w:val="21"/>
              </w:rPr>
              <w:t>Advanced Studies on the Global South Issues</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POLI70007</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博导师组式学术创新训练体系旨在整合优质学术资源，推动学生课堂外学术参与、学术训练制度化、规范化，促进本博融通轨道学生熟悉研究规范，培养研究兴趣，提升科研能力，构建全链条长周期学术科研培养支持体系。
       </w:t>
      </w:r>
      <w:r>
        <w:br/>
      </w:r>
      <w:r>
        <w:rPr>
          <w:rFonts w:ascii="SimSun" w:hAnsi="SimSun"/>
          <w:b w:val="false"/>
          <w:i w:val="false"/>
          <w:color w:val="000000"/>
          <w:sz w:val="21"/>
        </w:rPr>
        <w:t xml:space="preserve">
       </w:t>
      </w:r>
      <w:r>
        <w:br/>
      </w:r>
      <w:r>
        <w:rPr>
          <w:rFonts w:ascii="SimSun" w:hAnsi="SimSun"/>
          <w:b w:val="false"/>
          <w:i w:val="false"/>
          <w:color w:val="000000"/>
          <w:sz w:val="21"/>
        </w:rPr>
        <w:t xml:space="preserve">1.本科阶段培养设计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本科阶段将FDUROP（复旦大学本科生学术研究资助计划）、国务学院“薪火计划”列为本博融通轨道学生必修项目。学生可择其一进行修读。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修读方式二：学生在本科阶段第三学年末或第四学年初规定时间前至少完成1项国务“薪火计划”教师课题（一年期以上）。完成认定以教师课题负责人出具的证明材料为准。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
       </w:t>
      </w:r>
      <w:r>
        <w:br/>
      </w:r>
      <w:r>
        <w:rPr>
          <w:rFonts w:ascii="SimSun" w:hAnsi="SimSun"/>
          <w:b w:val="false"/>
          <w:i w:val="false"/>
          <w:color w:val="000000"/>
          <w:sz w:val="21"/>
        </w:rPr>
        <w:t xml:space="preserve">
       </w:t>
      </w:r>
      <w:r>
        <w:br/>
      </w:r>
      <w:r>
        <w:rPr>
          <w:rFonts w:ascii="SimSun" w:hAnsi="SimSun"/>
          <w:b w:val="false"/>
          <w:i w:val="false"/>
          <w:color w:val="000000"/>
          <w:sz w:val="21"/>
        </w:rPr>
        <w:t xml:space="preserve">2.博士研究生阶段培养设计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FDUROP（复旦大学本科生学术研究资助计划）和国务学院“薪火计划”	 必修2选1
1.FDUROP（复旦大学本科生学术研究资助计划）
第3学年末或第4学年初规定时间前，以项目负责人或负责人之外项目排名第二的成员身份至少完成1项FDUROP项目立项。修读认定以项目立项证明材料为准，项目能否设置负责人外成员参照学校政策安排。
2.国务学院“薪火计划”
第3学年末或第3学年初规定时间前至少完成1项国务“薪火计划”教师课题（一年期以上）。完成认定以教师课题负责人出具的证明材料为准。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本博导师组式学术创新训练体系-博士研究生阶段培养设计
博士研究生阶段将参与学院重大科研项目作为本博融通轨道学生必修项目。学院重大科研项目具体认定标准由学院另行规定。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学术活动的次数、考核方式及基本要求 每位博士生在学四年内，要选择本专业范围内的一个理论问题，面向本专业研究生举行1至2次公开学术讲座。 基本要求是：（1）讲座的论题有一定的理论和现实意义；（2）有一定创见并能作较深入的分析和论证；（3）表达清晰，逻辑严密。根据准备的讲稿和听众的反映进行考核和打分。 每位博士生在中期考核之前必须参加校庆学术研讨会和其他学术报告会至少各1次，并做专题发言，发言提纲在中期考核汇报时提交考核小组。</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实践的基本范围或基本形式 （1）开展理论研究，训练写作能力，在学期间要在核心期刊发表论文两篇以上或权威期刊发表论文一篇以上。 （2）在学期间开办1—2次专题学术讲座，以训练理论概括、分析能力和表达能力。 （3）根据学校工作需要，担任本科生专业课助教，并讲授1次；或根据学校工作需要，参与社会实践或重大学术研究活动（至少一项），以训练组织能力以及理论分析和概括能力。</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原则上应到具有世界一流水平的国内外机构进行至少一学期（累计）的学习、研究或联合培养。需具有参加高水平国际学术会议并作报告的经历。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在第11学期初完成（第6学年初和第7学年初有2次申请机会)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在第13学期初完成（博资考通过一年内应完成开题）详见国务学院论文开题实施细则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