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化学专业致力于培养具有宽广的人文、社会和自然科学基本理论和知识，具有扎实的化学专业基础、良好的科学素养和创新意识的综合型领军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以化学学科发展趋势为导向，以服务国家重大战略需求为牵引，培养德智体美劳全面发展的化学领军人才。要求学生掌握必要的数学、物理、生物、人工智能等学科基础知识，具有较高的外语水平和信息技术应用能力，系统地掌握化学及相关学科的基本理论、基础知识和实验技能；了解化学学科发展和前沿动态，掌握基本的科学研究方法，鼓励学生在多层次和多学科交叉领域中参与基础研究和应用研究，提高发现问题、提出问题、分析和解决实际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91467" cy="1896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91467" cy="1896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 xml:space="preserve">1、修业年限：以4年为基准（类型：√本科、□本硕、□本博）            </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40"/>
        <w:gridCol w:w="1340"/>
        <w:gridCol w:w="1421"/>
        <w:gridCol w:w="1422"/>
        <w:gridCol w:w="1540"/>
        <w:gridCol w:w="1180"/>
        <w:gridCol w:w="1220"/>
        <w:gridCol w:w="791"/>
        <w:gridCol w:w="792"/>
        <w:gridCol w:w="794"/>
        <w:gridCol w:w="794"/>
      </w:tblGrid>
      <w:tr>
        <w:trPr>
          <w:trHeight w:val="45" w:hRule="atLeast"/>
        </w:trPr>
        <w:tc>
          <w:tcPr>
            <w:tcW w:w="2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1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5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1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3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13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5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学术学位</w:t>
            </w:r>
          </w:p>
        </w:tc>
        <w:tc>
          <w:tcPr>
            <w:tcW w:w="11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化学</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必修课组需通过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42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81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11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 6 学分</w:t>
            </w:r>
          </w:p>
        </w:tc>
      </w:tr>
    </w:tbl>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606800"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6800" cy="14054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1、专业进阶路径：140学分                                                               </w:t>
      </w:r>
    </w:p>
    <w:p>
      <w:pPr>
        <w:spacing w:after="0"/>
        <w:ind w:left="0"/>
        <w:jc w:val="left"/>
      </w:pPr>
      <w:r>
        <w:rPr>
          <w:rFonts w:ascii="SimSun" w:hAnsi="SimSun"/>
          <w:b w:val="false"/>
          <w:i w:val="false"/>
          <w:color w:val="000000"/>
          <w:sz w:val="21"/>
        </w:rPr>
        <w:t xml:space="preserve">  本路径学生在学期间必须修满教学计划规定的140学分（含实践学分不低于35学分；含美育学分不少于2学分，其中至少在“美学和艺术史论类”或“艺术鉴赏和评论类”课程中修读1学分,并至少参与一项艺术实践活动；劳动教育不少于32学时，并满足劳动周教育要求）方能毕业。其中包括通识教育课程42学分、专业培养课程81学分、专业进阶模块修读11学分，融合创新能力培养6学分的修读。</w:t>
      </w:r>
    </w:p>
    <w:p>
      <w:pPr>
        <w:spacing w:after="0"/>
        <w:ind w:left="0"/>
        <w:jc w:val="left"/>
      </w:pPr>
      <w:r>
        <w:rPr>
          <w:rFonts w:ascii="SimSun" w:hAnsi="SimSun"/>
          <w:b w:val="false"/>
          <w:i w:val="false"/>
          <w:color w:val="000000"/>
          <w:sz w:val="21"/>
        </w:rPr>
        <w:t>2、荣誉项目路径：140学分</w:t>
      </w:r>
    </w:p>
    <w:p>
      <w:pPr>
        <w:spacing w:after="0"/>
        <w:ind w:left="0"/>
        <w:jc w:val="left"/>
      </w:pPr>
      <w:r>
        <w:rPr>
          <w:rFonts w:ascii="SimSun" w:hAnsi="SimSun"/>
          <w:b w:val="false"/>
          <w:i w:val="false"/>
          <w:color w:val="000000"/>
          <w:sz w:val="21"/>
        </w:rPr>
        <w:t xml:space="preserve">  须在完成专业进阶路径的要求的同时，修读至少24学分由化学系开设的荣誉课程。荣誉项目课程设置和修读要求请见化学系“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4、化学-人工智能双学士学位路径：</w:t>
      </w:r>
    </w:p>
    <w:p>
      <w:pPr>
        <w:spacing w:after="0"/>
        <w:ind w:left="0"/>
        <w:jc w:val="left"/>
      </w:pPr>
      <w:r>
        <w:rPr>
          <w:rFonts w:ascii="SimSun" w:hAnsi="SimSun"/>
          <w:b w:val="false"/>
          <w:i w:val="false"/>
          <w:color w:val="000000"/>
          <w:sz w:val="21"/>
        </w:rPr>
        <w:t xml:space="preserve">  具体要求见化学-人工智能双学士学位项目培养方案。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1、4年级结束时，如达到学士学位要求者授予理学学士学位。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val="false"/>
          <w:i w:val="false"/>
          <w:color w:val="000000"/>
          <w:sz w:val="21"/>
        </w:rPr>
        <w:t>2、如达到化学-人工智能双学士学位要求者授予理学-工学双学士学位。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开放度、高挑战性的荣誉课程为基础建立了专业核心课程体系，以学科领域为横、课程内容梯度为纵建立了难度逐级提升的专业进阶课程体系。为鼓励学生挑战自我，相关基础化学课程设置免修制度，免修考试通过后可直接修读后续高阶理论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以先导、进阶、专攻为特色的三阶科研训练体系。通过“复芏计划”激发创新志趣。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691467" cy="231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91467" cy="23198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必选6学分，每模块≤1门（通识微课不设门数上限）。选修第五模块“科学探索与技术创新”的课程不计入七大模块6学分中。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B1类课程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人工智能基础</w:t>
            </w:r>
            <w:r>
              <w:br/>
            </w:r>
            <w:r>
              <w:br/>
            </w:r>
            <w:r>
              <w:rPr>
                <w:rFonts w:ascii="SimSun" w:hAnsi="SimSun"/>
                <w:b w:val="false"/>
                <w:i w:val="false"/>
                <w:color w:val="000000"/>
                <w:sz w:val="21"/>
              </w:rPr>
              <w:t>Artificial Intelligence Fundamentals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生成式软件开发</w:t>
            </w:r>
            <w:r>
              <w:br/>
            </w:r>
            <w:r>
              <w:br/>
            </w:r>
            <w:r>
              <w:rPr>
                <w:rFonts w:ascii="SimSun" w:hAnsi="SimSun"/>
                <w:b w:val="false"/>
                <w:i w:val="false"/>
                <w:color w:val="000000"/>
                <w:sz w:val="21"/>
              </w:rPr>
              <w:t>Generative Software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计算与智能概论A</w:t>
            </w:r>
            <w:r>
              <w:br/>
            </w:r>
            <w:r>
              <w:br/>
            </w:r>
            <w:r>
              <w:rPr>
                <w:rFonts w:ascii="SimSun" w:hAnsi="SimSun"/>
                <w:b w:val="false"/>
                <w:i w:val="false"/>
                <w:color w:val="000000"/>
                <w:sz w:val="21"/>
              </w:rPr>
              <w:t>Fundamentals of Computing and Intelligence A</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军事理论</w:t>
            </w:r>
            <w:r>
              <w:br/>
            </w:r>
            <w:r>
              <w:br/>
            </w:r>
            <w:r>
              <w:rPr>
                <w:rFonts w:ascii="SimSun" w:hAnsi="SimSun"/>
                <w:b w:val="false"/>
                <w:i w:val="false"/>
                <w:color w:val="000000"/>
                <w:sz w:val="21"/>
              </w:rPr>
              <w:t>Military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军事技能</w:t>
            </w:r>
            <w:r>
              <w:br/>
            </w:r>
            <w:r>
              <w:br/>
            </w:r>
            <w:r>
              <w:rPr>
                <w:rFonts w:ascii="SimSun" w:hAnsi="SimSun"/>
                <w:b w:val="false"/>
                <w:i w:val="false"/>
                <w:color w:val="000000"/>
                <w:sz w:val="21"/>
              </w:rPr>
              <w:t>Military Skills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要求修读50学分（部分课程可用荣誉课程替代，多选学分可转入专业进阶化学课程池学分）。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本研贯通课程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须修读至少1门，部分课程可修读对应荣誉课程进行替代，多选学分可转入专业进阶化学课程池学分。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化学+AI融合课程，需修读至少1门，多选学分可转入专业进阶化学课程池学分。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包括专业进阶路径、荣誉项目、跨学科发展路径、双学位项目等，要求在院系专业导师指导下选择1条发展路径，按路径要求修读课程。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要求在本专业进阶模块中修11学分，其中修读来自于化学课程池的课程学分数需大于或等于9学分。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化学类课程池</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0"/>
        <w:gridCol w:w="2723"/>
        <w:gridCol w:w="677"/>
        <w:gridCol w:w="678"/>
        <w:gridCol w:w="946"/>
        <w:gridCol w:w="1569"/>
        <w:gridCol w:w="680"/>
        <w:gridCol w:w="677"/>
        <w:gridCol w:w="677"/>
        <w:gridCol w:w="677"/>
        <w:gridCol w:w="948"/>
        <w:gridCol w:w="1352"/>
      </w:tblGrid>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交叉学科课程池</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49"/>
        <w:gridCol w:w="2732"/>
        <w:gridCol w:w="682"/>
        <w:gridCol w:w="682"/>
        <w:gridCol w:w="956"/>
        <w:gridCol w:w="1479"/>
        <w:gridCol w:w="682"/>
        <w:gridCol w:w="682"/>
        <w:gridCol w:w="683"/>
        <w:gridCol w:w="683"/>
        <w:gridCol w:w="956"/>
        <w:gridCol w:w="1368"/>
      </w:tblGrid>
      <w:tr>
        <w:trPr>
          <w:trHeight w:val="45" w:hRule="atLeast"/>
        </w:trPr>
        <w:tc>
          <w:tcPr>
            <w:tcW w:w="20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满足专业进阶路径的同时，完成1个非本专业独立开设的辅修学士学位项目。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化学-人工智能双学士学位项目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    具体学分要求请见相关的双学士学位项目培养方案。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科研实践先导课程中修读至少2学分，在科研实践进阶课程中修读至少2学分（其中“科研实践”课程可通过申请“复芏计划”完成，具体要求根据院系通知）。毕业论文需至少获得2学分：对于完成“复芏计划”的同学，可以将“复芏计划”成果作为论文主要内容，完成论文写作后获得2学分；对于未完成复芏计划的同学，需修读6学分的本科毕业论文。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修读“复芏计划”必选</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未修读“复芏计划”必选</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