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2025哲学(国学方向)专业本科培养方案(强基计划适用)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哲学（国学方向）专业在哲学大类要求的基础上，还要求学生具有扎实的国学基础知识和较高的古代汉语素养，熟读国学基本经典，掌握中国传统思想的各种流派及其特点。</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454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54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60"/>
        <w:gridCol w:w="840"/>
        <w:gridCol w:w="1918"/>
        <w:gridCol w:w="1920"/>
        <w:gridCol w:w="1680"/>
        <w:gridCol w:w="1020"/>
        <w:gridCol w:w="980"/>
        <w:gridCol w:w="2"/>
        <w:gridCol w:w="5"/>
        <w:gridCol w:w="1092"/>
        <w:gridCol w:w="1217"/>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92" w:type="dxa"/>
            <w:tcBorders>
              <w:bottom w:val="single" w:color="000000" w:sz="8"/>
              <w:right w:val="single" w:color="000000" w:sz="8"/>
            </w:tcBorders>
            <w:tcMar>
              <w:top w:w="15" w:type="dxa"/>
              <w:left w:w="15" w:type="dxa"/>
              <w:bottom w:w="15" w:type="dxa"/>
              <w:right w:w="15" w:type="dxa"/>
            </w:tcMar>
            <w:vAlign w:val="center"/>
          </w:tcPr>
          <w:p/>
        </w:tc>
        <w:tc>
          <w:tcPr>
            <w:tcW w:w="1217"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哲学（国学方向）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590800"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90800" cy="12192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 20学分，专业进阶模块II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w:t>
      </w:r>
    </w:p>
    <w:p>
      <w:pPr>
        <w:spacing w:after="0"/>
        <w:ind w:left="0"/>
        <w:jc w:val="left"/>
      </w:pPr>
      <w:r>
        <w:rPr>
          <w:rFonts w:ascii="SimSun" w:hAnsi="SimSun"/>
          <w:b w:val="false"/>
          <w:i w:val="false"/>
          <w:color w:val="000000"/>
          <w:sz w:val="21"/>
        </w:rPr>
        <w:t>3、哲学+AI双学士学位项目：170学分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本科学位                                        </w:t>
      </w:r>
      <w:r>
        <w:br/>
      </w:r>
      <w:r>
        <w:br/>
      </w:r>
      <w:r>
        <w:rPr>
          <w:rFonts w:ascii="SimSun" w:hAnsi="SimSun"/>
          <w:b w:val="false"/>
          <w:i w:val="false"/>
          <w:color w:val="000000"/>
          <w:sz w:val="21"/>
        </w:rPr>
        <w:t xml:space="preserve"> 4年级结束时，如达到学士学位要求者授予哲学学士学位。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强基计划”学生入校后按照“2+X”培养方案中的“荣誉项目”路径修读各类课程。“强基计划”学生实行动态进出制，每学年根据学习成绩进行考核，不合格的学生将转出“强基计划”（详见《复旦大学哲学学院“强基计划”学生管理办法（试行）》）。“强基计划”学生在大一结束时，按照学生意愿可在哲学专业内部各方向进行分流，专业分流后按照各专业方向荣誉项目实施方案进行培养。“强基计划”同学经考核合格，可100%入选本学院“优秀大学生夏令营”，参加推荐免试攻读研究生选拔；满足相关要求的“强基计划”学生将按规定确保获得优先推荐；特别优秀的学生可进入直博生通道；“强基计划”学生可在大四学年修读本专业研究生基础课程，如在本校深造，则按照复旦大学研究生院规定计入研究生成绩。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031067" cy="165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1067" cy="16594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r>
        <w:br/>
      </w:r>
      <w:r>
        <w:br/>
      </w: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小学基础</w:t>
            </w:r>
            <w:r>
              <w:br/>
            </w:r>
            <w:r>
              <w:br/>
            </w:r>
            <w:r>
              <w:rPr>
                <w:rFonts w:ascii="SimSun" w:hAnsi="SimSun"/>
                <w:b w:val="false"/>
                <w:i w:val="false"/>
                <w:color w:val="000000"/>
                <w:sz w:val="21"/>
              </w:rPr>
              <w:t>Basic Chinese Philology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国学通论</w:t>
            </w:r>
            <w:r>
              <w:br/>
            </w:r>
            <w:r>
              <w:br/>
            </w:r>
            <w:r>
              <w:rPr>
                <w:rFonts w:ascii="SimSun" w:hAnsi="SimSun"/>
                <w:b w:val="false"/>
                <w:i w:val="false"/>
                <w:color w:val="000000"/>
                <w:sz w:val="21"/>
              </w:rPr>
              <w:t>Introduction to Traditional Chinese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《论语》</w:t>
            </w:r>
            <w:r>
              <w:br/>
            </w:r>
            <w:r>
              <w:br/>
            </w:r>
            <w:r>
              <w:rPr>
                <w:rFonts w:ascii="SimSun" w:hAnsi="SimSun"/>
                <w:b w:val="false"/>
                <w:i w:val="false"/>
                <w:color w:val="000000"/>
                <w:sz w:val="21"/>
              </w:rPr>
              <w:t>Introduction to The Confucian Analects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《大学》与《中庸》</w:t>
            </w:r>
            <w:r>
              <w:br/>
            </w:r>
            <w:r>
              <w:br/>
            </w:r>
            <w:r>
              <w:rPr>
                <w:rFonts w:ascii="SimSun" w:hAnsi="SimSun"/>
                <w:b w:val="false"/>
                <w:i w:val="false"/>
                <w:color w:val="000000"/>
                <w:sz w:val="21"/>
              </w:rPr>
              <w:t>Introduction to The Great Learning and Doctrine of the Mean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中国哲学史料学</w:t>
            </w:r>
            <w:r>
              <w:br/>
            </w:r>
            <w:r>
              <w:br/>
            </w:r>
            <w:r>
              <w:rPr>
                <w:rFonts w:ascii="SimSun" w:hAnsi="SimSun"/>
                <w:b w:val="false"/>
                <w:i w:val="false"/>
                <w:color w:val="000000"/>
                <w:sz w:val="21"/>
              </w:rPr>
              <w:t>Historical Materials of Chinese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《老子》与《庄子》</w:t>
            </w:r>
            <w:r>
              <w:br/>
            </w:r>
            <w:r>
              <w:br/>
            </w:r>
            <w:r>
              <w:rPr>
                <w:rFonts w:ascii="SimSun" w:hAnsi="SimSun"/>
                <w:b w:val="false"/>
                <w:i w:val="false"/>
                <w:color w:val="000000"/>
                <w:sz w:val="21"/>
              </w:rPr>
              <w:t>Laozi and Zhuangzi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《孟子》</w:t>
            </w:r>
            <w:r>
              <w:br/>
            </w:r>
            <w:r>
              <w:br/>
            </w:r>
            <w:r>
              <w:rPr>
                <w:rFonts w:ascii="SimSun" w:hAnsi="SimSun"/>
                <w:b w:val="false"/>
                <w:i w:val="false"/>
                <w:color w:val="000000"/>
                <w:sz w:val="21"/>
              </w:rPr>
              <w:t>Introduction to Meng Zi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《礼记》</w:t>
            </w:r>
            <w:r>
              <w:br/>
            </w:r>
            <w:r>
              <w:br/>
            </w:r>
            <w:r>
              <w:rPr>
                <w:rFonts w:ascii="SimSun" w:hAnsi="SimSun"/>
                <w:b w:val="false"/>
                <w:i w:val="false"/>
                <w:color w:val="000000"/>
                <w:sz w:val="21"/>
              </w:rPr>
              <w:t>Introduction to Li Ji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《周易》</w:t>
            </w:r>
            <w:r>
              <w:br/>
            </w:r>
            <w:r>
              <w:br/>
            </w:r>
            <w:r>
              <w:rPr>
                <w:rFonts w:ascii="SimSun" w:hAnsi="SimSun"/>
                <w:b w:val="false"/>
                <w:i w:val="false"/>
                <w:color w:val="000000"/>
                <w:sz w:val="21"/>
              </w:rPr>
              <w:t>Introduction to The Book of Changes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《荀子》</w:t>
            </w:r>
            <w:r>
              <w:br/>
            </w:r>
            <w:r>
              <w:br/>
            </w:r>
            <w:r>
              <w:rPr>
                <w:rFonts w:ascii="SimSun" w:hAnsi="SimSun"/>
                <w:b w:val="false"/>
                <w:i w:val="false"/>
                <w:color w:val="000000"/>
                <w:sz w:val="21"/>
              </w:rPr>
              <w:t>Introduction to Xunzi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按照“荣誉项目路径”修读各类课程，修满34学分。要求在"专业进阶课程I"课程中修读至少20学分，在"专业进阶课程II"课程中修读至少14学分（其中须选修1门专业外语，不限方向，限选1门）。同时修读荣誉课程的学分数不低于24学分，即在哲学学院开设的14门荣誉课程中至少修读6门。 
       </w:t>
      </w:r>
      <w:r>
        <w:br/>
      </w:r>
      <w:r>
        <w:rPr>
          <w:rFonts w:ascii="SimSun" w:hAnsi="SimSun"/>
          <w:b w:val="false"/>
          <w:i w:val="false"/>
          <w:color w:val="000000"/>
          <w:sz w:val="21"/>
        </w:rPr>
        <w:t xml:space="preserve">
       </w:t>
      </w:r>
      <w:r>
        <w:br/>
      </w:r>
      <w:r>
        <w:rPr>
          <w:rFonts w:ascii="SimSun" w:hAnsi="SimSun"/>
          <w:b w:val="false"/>
          <w:i w:val="false"/>
          <w:color w:val="000000"/>
          <w:sz w:val="21"/>
        </w:rPr>
        <w:t xml:space="preserve">荣誉课程的学分可按本院制订的课程替代方案进行学分转换与认定，但学分转换与认定只作为本科毕业资格审核的依据，成绩单则如实记载学生所修课程与成绩，不作变更。学生修读荣誉课程的学分如超过用于替换的《普通培养方案》中相应课程的学分可转换成任意选修学分，但成绩不作变更。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修满34学分，要求在"专业进阶课程I"课程中修读至少20学分，在"专业进阶课程II"课程中修读至少14学分（其中须选修1门专业外语，不限方向，限选1门）。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 文史典籍</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《文心雕龙》精读</w:t>
            </w:r>
            <w:r>
              <w:br/>
            </w:r>
            <w:r>
              <w:br/>
            </w:r>
            <w:r>
              <w:rPr>
                <w:rFonts w:ascii="SimSun" w:hAnsi="SimSun"/>
                <w:b w:val="false"/>
                <w:i w:val="false"/>
                <w:color w:val="000000"/>
                <w:sz w:val="21"/>
              </w:rPr>
              <w:t>Close Reading of The Literary Mind and the Carving of Dragons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《四库提要》精读</w:t>
            </w:r>
            <w:r>
              <w:br/>
            </w:r>
            <w:r>
              <w:br/>
            </w:r>
            <w:r>
              <w:rPr>
                <w:rFonts w:ascii="SimSun" w:hAnsi="SimSun"/>
                <w:b w:val="false"/>
                <w:i w:val="false"/>
                <w:color w:val="000000"/>
                <w:sz w:val="21"/>
              </w:rPr>
              <w:t>Close Reading of Essentials of National Encyclopedia of Four Catalogues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《说文解字》精读</w:t>
            </w:r>
            <w:r>
              <w:br/>
            </w:r>
            <w:r>
              <w:br/>
            </w:r>
            <w:r>
              <w:rPr>
                <w:rFonts w:ascii="SimSun" w:hAnsi="SimSun"/>
                <w:b w:val="false"/>
                <w:i w:val="false"/>
                <w:color w:val="000000"/>
                <w:sz w:val="21"/>
              </w:rPr>
              <w:t>Close Reading of Shuo Wen Jie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《世说新语》精读</w:t>
            </w:r>
            <w:r>
              <w:br/>
            </w:r>
            <w:r>
              <w:br/>
            </w:r>
            <w:r>
              <w:rPr>
                <w:rFonts w:ascii="SimSun" w:hAnsi="SimSun"/>
                <w:b w:val="false"/>
                <w:i w:val="false"/>
                <w:color w:val="000000"/>
                <w:sz w:val="21"/>
              </w:rPr>
              <w:t>Close Reading of Shi Shuo Xin Yu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《资治通鉴》讲读</w:t>
            </w:r>
            <w:r>
              <w:br/>
            </w:r>
            <w:r>
              <w:br/>
            </w:r>
            <w:r>
              <w:rPr>
                <w:rFonts w:ascii="SimSun" w:hAnsi="SimSun"/>
                <w:b w:val="false"/>
                <w:i w:val="false"/>
                <w:color w:val="000000"/>
                <w:sz w:val="21"/>
              </w:rPr>
              <w:t>Intensive Reading of A Comprehensive Mirror for Aid in Government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校雠目录学</w:t>
            </w:r>
            <w:r>
              <w:br/>
            </w:r>
            <w:r>
              <w:br/>
            </w:r>
            <w:r>
              <w:rPr>
                <w:rFonts w:ascii="SimSun" w:hAnsi="SimSun"/>
                <w:b w:val="false"/>
                <w:i w:val="false"/>
                <w:color w:val="000000"/>
                <w:sz w:val="21"/>
              </w:rPr>
              <w:t>Traditional Bibliography (Collation and Cataloguing)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《文选》</w:t>
            </w:r>
            <w:r>
              <w:br/>
            </w:r>
            <w:r>
              <w:br/>
            </w:r>
            <w:r>
              <w:rPr>
                <w:rFonts w:ascii="SimSun" w:hAnsi="SimSun"/>
                <w:b w:val="false"/>
                <w:i w:val="false"/>
                <w:color w:val="000000"/>
                <w:sz w:val="21"/>
              </w:rPr>
              <w:t>Introduction to Anthology of Literary Works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 断代研究及儒释道专题</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清代思想专题研究</w:t>
            </w:r>
            <w:r>
              <w:br/>
            </w:r>
            <w:r>
              <w:br/>
            </w:r>
            <w:r>
              <w:rPr>
                <w:rFonts w:ascii="SimSun" w:hAnsi="SimSun"/>
                <w:b w:val="false"/>
                <w:i w:val="false"/>
                <w:color w:val="000000"/>
                <w:sz w:val="21"/>
              </w:rPr>
              <w:t>Issues of Thoughts of the Qing Dynasty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秦汉哲学专题研究</w:t>
            </w:r>
            <w:r>
              <w:br/>
            </w:r>
            <w:r>
              <w:br/>
            </w:r>
            <w:r>
              <w:rPr>
                <w:rFonts w:ascii="SimSun" w:hAnsi="SimSun"/>
                <w:b w:val="false"/>
                <w:i w:val="false"/>
                <w:color w:val="000000"/>
                <w:sz w:val="21"/>
              </w:rPr>
              <w:t>Issues of the Philosophy of the Qin and Han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魏晋玄学专题研究</w:t>
            </w:r>
            <w:r>
              <w:br/>
            </w:r>
            <w:r>
              <w:br/>
            </w:r>
            <w:r>
              <w:rPr>
                <w:rFonts w:ascii="SimSun" w:hAnsi="SimSun"/>
                <w:b w:val="false"/>
                <w:i w:val="false"/>
                <w:color w:val="000000"/>
                <w:sz w:val="21"/>
              </w:rPr>
              <w:t>Issues of the Wei-Jin Xuanxue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宋明理学专题研究</w:t>
            </w:r>
            <w:r>
              <w:br/>
            </w:r>
            <w:r>
              <w:br/>
            </w:r>
            <w:r>
              <w:rPr>
                <w:rFonts w:ascii="SimSun" w:hAnsi="SimSun"/>
                <w:b w:val="false"/>
                <w:i w:val="false"/>
                <w:color w:val="000000"/>
                <w:sz w:val="21"/>
              </w:rPr>
              <w:t>Issues of Neo-Confucianism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汉传佛教哲学</w:t>
            </w:r>
            <w:r>
              <w:br/>
            </w:r>
            <w:r>
              <w:br/>
            </w:r>
            <w:r>
              <w:rPr>
                <w:rFonts w:ascii="SimSun" w:hAnsi="SimSun"/>
                <w:b w:val="false"/>
                <w:i w:val="false"/>
                <w:color w:val="000000"/>
                <w:sz w:val="21"/>
              </w:rPr>
              <w:t>Philosophy of Chinese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印度哲学与宗教</w:t>
            </w:r>
            <w:r>
              <w:br/>
            </w:r>
            <w:r>
              <w:br/>
            </w:r>
            <w:r>
              <w:rPr>
                <w:rFonts w:ascii="SimSun" w:hAnsi="SimSun"/>
                <w:b w:val="false"/>
                <w:i w:val="false"/>
                <w:color w:val="000000"/>
                <w:sz w:val="21"/>
              </w:rPr>
              <w:t>Indian Philosophy and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佛教经典选读</w:t>
            </w:r>
            <w:r>
              <w:br/>
            </w:r>
            <w:r>
              <w:br/>
            </w:r>
            <w:r>
              <w:rPr>
                <w:rFonts w:ascii="SimSun" w:hAnsi="SimSun"/>
                <w:b w:val="false"/>
                <w:i w:val="false"/>
                <w:color w:val="000000"/>
                <w:sz w:val="21"/>
              </w:rPr>
              <w:t>Selected Readings of Buddhist Scriptures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印度哲学选读</w:t>
            </w:r>
            <w:r>
              <w:br/>
            </w:r>
            <w:r>
              <w:br/>
            </w:r>
            <w:r>
              <w:rPr>
                <w:rFonts w:ascii="SimSun" w:hAnsi="SimSun"/>
                <w:b w:val="false"/>
                <w:i w:val="false"/>
                <w:color w:val="000000"/>
                <w:sz w:val="21"/>
              </w:rPr>
              <w:t>Selected Readings in Indian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 经学与子学经典</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《韩非子》</w:t>
            </w:r>
            <w:r>
              <w:br/>
            </w:r>
            <w:r>
              <w:br/>
            </w:r>
            <w:r>
              <w:rPr>
                <w:rFonts w:ascii="SimSun" w:hAnsi="SimSun"/>
                <w:b w:val="false"/>
                <w:i w:val="false"/>
                <w:color w:val="000000"/>
                <w:sz w:val="21"/>
              </w:rPr>
              <w:t>Introduction to Han Fei Zi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《诗经》</w:t>
            </w:r>
            <w:r>
              <w:br/>
            </w:r>
            <w:r>
              <w:br/>
            </w:r>
            <w:r>
              <w:rPr>
                <w:rFonts w:ascii="SimSun" w:hAnsi="SimSun"/>
                <w:b w:val="false"/>
                <w:i w:val="false"/>
                <w:color w:val="000000"/>
                <w:sz w:val="21"/>
              </w:rPr>
              <w:t>The Book of Odes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《尚书》</w:t>
            </w:r>
            <w:r>
              <w:br/>
            </w:r>
            <w:r>
              <w:br/>
            </w:r>
            <w:r>
              <w:rPr>
                <w:rFonts w:ascii="SimSun" w:hAnsi="SimSun"/>
                <w:b w:val="false"/>
                <w:i w:val="false"/>
                <w:color w:val="000000"/>
                <w:sz w:val="21"/>
              </w:rPr>
              <w:t>Introduction to Shang Shu</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《左传》</w:t>
            </w:r>
            <w:r>
              <w:br/>
            </w:r>
            <w:r>
              <w:br/>
            </w:r>
            <w:r>
              <w:rPr>
                <w:rFonts w:ascii="SimSun" w:hAnsi="SimSun"/>
                <w:b w:val="false"/>
                <w:i w:val="false"/>
                <w:color w:val="000000"/>
                <w:sz w:val="21"/>
              </w:rPr>
              <w:t>Introduction to Zuo Zhuan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《公羊传》</w:t>
            </w:r>
            <w:r>
              <w:br/>
            </w:r>
            <w:r>
              <w:br/>
            </w:r>
            <w:r>
              <w:rPr>
                <w:rFonts w:ascii="SimSun" w:hAnsi="SimSun"/>
                <w:b w:val="false"/>
                <w:i w:val="false"/>
                <w:color w:val="000000"/>
                <w:sz w:val="21"/>
              </w:rPr>
              <w:t>Introduction to Chun Qiu Gong Yang Zhuan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《近思录》</w:t>
            </w:r>
            <w:r>
              <w:br/>
            </w:r>
            <w:r>
              <w:br/>
            </w:r>
            <w:r>
              <w:rPr>
                <w:rFonts w:ascii="SimSun" w:hAnsi="SimSun"/>
                <w:b w:val="false"/>
                <w:i w:val="false"/>
                <w:color w:val="000000"/>
                <w:sz w:val="21"/>
              </w:rPr>
              <w:t>Jin Si Lu</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 其他专题研究</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专业进阶多元发展</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