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2025级数学与应用数学专业本科培养方案（相辉计划-普通班课程体系）</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761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80933"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80933" cy="15070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本路径学生需要完成142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43学分、专业培养课程72学分、专业进阶模块（含理工课程池）修读12学分、融合创新能力培养9学分、任意选修6学分。</w:t>
      </w:r>
    </w:p>
    <w:p>
      <w:pPr>
        <w:spacing w:after="0"/>
        <w:ind w:left="0"/>
        <w:jc w:val="left"/>
      </w:pPr>
      <w:r>
        <w:rPr>
          <w:rFonts w:ascii="SimSun" w:hAnsi="SimSun"/>
          <w:b w:val="false"/>
          <w:i w:val="false"/>
          <w:color w:val="000000"/>
          <w:sz w:val="21"/>
        </w:rPr>
        <w:t>2.荣誉项目：142学分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3.跨学科发展路径：154学分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以专业必修和限定必修课程为基础建立了本研融通的专业核心课程体系，以学科领域为横、课程内容梯度为纵建立了难度逐级提升的本研融通的专业进阶课程体系。</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2. 科研训练体系</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945467"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45467" cy="1253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要求修读54学分（部分课程学分可用荣誉课程学分替换）。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需在本模块11门课程中选5门，超过5门可以算作专业进阶学分。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抽象代数II</w:t>
            </w:r>
            <w:r>
              <w:br/>
            </w:r>
            <w:r>
              <w:br/>
            </w:r>
            <w:r>
              <w:rPr>
                <w:rFonts w:ascii="SimSun" w:hAnsi="SimSun"/>
                <w:b w:val="false"/>
                <w:i w:val="false"/>
                <w:color w:val="000000"/>
                <w:sz w:val="21"/>
              </w:rPr>
              <w:t>Abstract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基础力学</w:t>
            </w:r>
            <w:r>
              <w:br/>
            </w:r>
            <w:r>
              <w:br/>
            </w:r>
            <w:r>
              <w:rPr>
                <w:rFonts w:ascii="SimSun" w:hAnsi="SimSun"/>
                <w:b w:val="false"/>
                <w:i w:val="false"/>
                <w:color w:val="000000"/>
                <w:sz w:val="21"/>
              </w:rPr>
              <w:t>Fundamentals of Mechanics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修满21学分。要求在本专业专业进阶模块（含理工课程池）修读12学分。学分不足部分可在全校所有课程中任意选修。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专业进阶模块（含理工课程池）12学分。
      </w:t>
      </w:r>
    </w:p>
    <w:tbl>
      <w:tblPr>
        <w:tblW w:w="0" w:type="auto"/>
        <w:tblCellSpacing w:w="0" w:type="auto"/>
        <w:tblBorders>
          <w:top w:val="none"/>
          <w:left w:val="none"/>
          <w:bottom w:val="none"/>
          <w:right w:val="none"/>
          <w:insideH w:val="none"/>
          <w:insideV w:val="none"/>
        </w:tblBorders>
      </w:tblPr>
      <w:tblGrid>
        <w:gridCol w:w="2010"/>
        <w:gridCol w:w="2710"/>
        <w:gridCol w:w="674"/>
        <w:gridCol w:w="676"/>
        <w:gridCol w:w="930"/>
        <w:gridCol w:w="1663"/>
        <w:gridCol w:w="674"/>
        <w:gridCol w:w="669"/>
        <w:gridCol w:w="672"/>
        <w:gridCol w:w="680"/>
        <w:gridCol w:w="933"/>
        <w:gridCol w:w="1343"/>
      </w:tblGrid>
      <w:tr>
        <w:trPr>
          <w:trHeight w:val="45" w:hRule="atLeast"/>
        </w:trPr>
        <w:tc>
          <w:tcPr>
            <w:tcW w:w="20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理工课程池-物理</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理工课程池-化学</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理工课程池-生物</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理工课程池-人工智能</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理工课程池-微电子</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理工课程池-经济</w:t>
            </w:r>
            <w:r>
              <w:br/>
            </w:r>
            <w:r>
              <w:br/>
            </w:r>
            <w:r>
              <w:rPr>
                <w:rFonts w:ascii="SimSun" w:hAnsi="SimSun"/>
                <w:b w:val="false"/>
                <w:i w:val="false"/>
                <w:color w:val="000000"/>
                <w:sz w:val="21"/>
              </w:rPr>
              <w:t>X Group</w:t>
            </w: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需承担1项复芏计划，学分可算作专业进阶学分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