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法学院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法学专业本科培养方案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复旦大学的法科教育始于 1905 年，1914 年启动成建制招生，1929年正式建院。现已建成完整的本硕博人才培养体系，现有国家级一流本科专业、上海市一流学科（上海市重点学科），获批设立“复合型”和“涉外型”两个教育部卓越法律人才教育培养基地、教育部涉外法治人才协同培养创新基地（培育）和两个上海市卓越法律人才培养基地。以学科交叉、国际视野和实践导向为特色，推进“法学+”交叉学科建设、推进涉外法治研究和合作，推进面向实践的法律人才培养，致力于打造具有中国特色的一流法学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卓越法治人才。学生应具有良好的思想道德素质和科学的世界观，具有人文情怀，具备突出的法律素养与创新思维、开阔的国际视野与跨文化交流合作能力，能够在国家机关、企事业单位、有关涉外机构和社会团体、特别是能在立法机关、行政机关、检察机关、审判机关、仲裁机构和法律服务部门从事相关工作，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00"/>
        <w:gridCol w:w="1716"/>
        <w:gridCol w:w="1716"/>
        <w:gridCol w:w="1800"/>
        <w:gridCol w:w="1220"/>
        <w:gridCol w:w="980"/>
        <w:gridCol w:w="3"/>
        <w:gridCol w:w="4"/>
        <w:gridCol w:w="1159"/>
        <w:gridCol w:w="1576"/>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159" w:type="dxa"/>
            <w:tcBorders>
              <w:bottom w:val="single" w:color="000000" w:sz="8"/>
              <w:right w:val="single" w:color="000000" w:sz="8"/>
            </w:tcBorders>
            <w:tcMar>
              <w:top w:w="15" w:type="dxa"/>
              <w:left w:w="15" w:type="dxa"/>
              <w:bottom w:w="15" w:type="dxa"/>
              <w:right w:w="15" w:type="dxa"/>
            </w:tcMar>
            <w:vAlign w:val="center"/>
          </w:tcPr>
          <w:p/>
        </w:tc>
        <w:tc>
          <w:tcPr>
            <w:tcW w:w="1576"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法学学士</w:t>
            </w:r>
          </w:p>
        </w:tc>
        <w:tc>
          <w:tcPr>
            <w:tcW w:w="1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143</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融合创新能力模块8学分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566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56667" cy="1608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专业进阶路径：143学分                                                         </w:t>
      </w:r>
    </w:p>
    <w:p>
      <w:pPr>
        <w:spacing w:after="0"/>
        <w:ind w:left="0"/>
        <w:jc w:val="left"/>
      </w:pPr>
      <w:r>
        <w:rPr>
          <w:rFonts w:ascii="SimSun" w:hAnsi="SimSun"/>
          <w:b w:val="false"/>
          <w:i w:val="false"/>
          <w:color w:val="000000"/>
          <w:sz w:val="21"/>
        </w:rPr>
        <w:t xml:space="preserve">本路径学生需要完成143学分（含实践学分不低于22学分；含美育学分不少于2学分，其中至少在“美学和艺术史论类”或“艺术鉴赏和评论类”课程中修读1学分，并至少参与一项艺术实践活动；劳动教育不少于32学时，并满足劳动周教育要求，全英语课程学分不低于4学分），包括通识教育课程45学分、专业培养课程66学分、专业进阶模块修读24学分、融合创新能力模块8学分。                                                               </w:t>
      </w:r>
    </w:p>
    <w:p>
      <w:pPr>
        <w:spacing w:after="0"/>
        <w:ind w:left="0"/>
        <w:jc w:val="left"/>
      </w:pPr>
      <w:r>
        <w:rPr>
          <w:rFonts w:ascii="SimSun" w:hAnsi="SimSun"/>
          <w:b w:val="false"/>
          <w:i w:val="false"/>
          <w:color w:val="000000"/>
          <w:sz w:val="21"/>
        </w:rPr>
        <w:t xml:space="preserve">2、 本科荣誉项目                                                         </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法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跨学科发展路径：149学分                                                                   </w:t>
      </w:r>
    </w:p>
    <w:p>
      <w:pPr>
        <w:spacing w:after="0"/>
        <w:ind w:left="0"/>
        <w:jc w:val="left"/>
      </w:pPr>
      <w:r>
        <w:rPr>
          <w:rFonts w:ascii="SimSun" w:hAnsi="SimSun"/>
          <w:b w:val="false"/>
          <w:i w:val="false"/>
          <w:color w:val="000000"/>
          <w:sz w:val="21"/>
        </w:rPr>
        <w:t xml:space="preserve">本路径学生需要完成149学分，包括通识教育课程45学分、专业培养课程66学分、融合创新能力模块8学分、修读2个跨学科学程（微专业）30学分。                                                                   </w:t>
      </w:r>
    </w:p>
    <w:p>
      <w:pPr>
        <w:spacing w:after="0"/>
        <w:ind w:left="0"/>
        <w:jc w:val="left"/>
      </w:pPr>
      <w:r>
        <w:rPr>
          <w:rFonts w:ascii="SimSun" w:hAnsi="SimSun"/>
          <w:b w:val="false"/>
          <w:i w:val="false"/>
          <w:color w:val="000000"/>
          <w:sz w:val="21"/>
        </w:rPr>
        <w:t xml:space="preserve">4、双学士学位项目：                                                              </w:t>
      </w:r>
    </w:p>
    <w:p>
      <w:pPr>
        <w:spacing w:after="0"/>
        <w:ind w:left="0"/>
        <w:jc w:val="left"/>
      </w:pPr>
      <w:r>
        <w:rPr>
          <w:rFonts w:ascii="SimSun" w:hAnsi="SimSun"/>
          <w:b w:val="false"/>
          <w:i w:val="false"/>
          <w:color w:val="000000"/>
          <w:sz w:val="21"/>
        </w:rPr>
        <w:t>（1）法学-经济学双学士学位项目， 本路径学生必须修满教学计划规定的181学分，具体要求见法学-经济学双学士学位项目培养方案。</w:t>
      </w:r>
    </w:p>
    <w:p>
      <w:pPr>
        <w:spacing w:after="0"/>
        <w:ind w:left="0"/>
        <w:jc w:val="left"/>
      </w:pPr>
      <w:r>
        <w:rPr>
          <w:rFonts w:ascii="SimSun" w:hAnsi="SimSun"/>
          <w:b w:val="false"/>
          <w:i w:val="false"/>
          <w:color w:val="000000"/>
          <w:sz w:val="21"/>
        </w:rPr>
        <w:t xml:space="preserve">（2）法学-人工智能双学士学位项目， 本路径学生必须修满教学计划规定的177学分，具体要求见法学-人工智能双学士学位项目培养方案。  "                                                                     </w:t>
      </w:r>
    </w:p>
    <w:p>
      <w:pPr>
        <w:spacing w:after="0"/>
        <w:ind w:left="0"/>
        <w:jc w:val="left"/>
      </w:pPr>
      <w:r>
        <w:rPr>
          <w:rFonts w:ascii="SimSun" w:hAnsi="SimSun"/>
          <w:b w:val="false"/>
          <w:i w:val="false"/>
          <w:color w:val="000000"/>
          <w:sz w:val="21"/>
        </w:rPr>
        <w:t xml:space="preserve">5、辅修学士学位路径：171学分                                                                 </w:t>
      </w:r>
    </w:p>
    <w:p>
      <w:pPr>
        <w:spacing w:after="0"/>
        <w:ind w:left="0"/>
        <w:jc w:val="left"/>
      </w:pPr>
      <w:r>
        <w:rPr>
          <w:rFonts w:ascii="SimSun" w:hAnsi="SimSun"/>
          <w:b w:val="false"/>
          <w:i w:val="false"/>
          <w:color w:val="000000"/>
          <w:sz w:val="21"/>
        </w:rPr>
        <w:t xml:space="preserve"> 要求至少修读本专业进阶课程12学分和1个辅修学士学位项目，辅修学士学位应与主修学士学位归属不同的本科专业大类。</w:t>
      </w:r>
    </w:p>
    <w:p>
      <w:pPr>
        <w:spacing w:after="0"/>
        <w:ind w:left="0"/>
        <w:jc w:val="left"/>
      </w:pP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val="false"/>
          <w:i w:val="false"/>
          <w:color w:val="000000"/>
          <w:sz w:val="21"/>
        </w:rPr>
        <w:t xml:space="preserve">6、创新创业路径：149学分                                                                 </w:t>
      </w:r>
    </w:p>
    <w:p>
      <w:pPr>
        <w:spacing w:after="0"/>
        <w:ind w:left="0"/>
        <w:jc w:val="left"/>
      </w:pPr>
      <w:r>
        <w:rPr>
          <w:rFonts w:ascii="SimSun" w:hAnsi="SimSun"/>
          <w:b w:val="false"/>
          <w:i w:val="false"/>
          <w:color w:val="000000"/>
          <w:sz w:val="21"/>
        </w:rPr>
        <w:t xml:space="preserve">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p>
    <w:p>
      <w:pPr>
        <w:spacing w:after="0"/>
        <w:ind w:left="0"/>
        <w:jc w:val="left"/>
      </w:pPr>
      <w:r>
        <w:rPr>
          <w:rFonts w:ascii="SimSun" w:hAnsi="SimSun"/>
          <w:b w:val="false"/>
          <w:i w:val="false"/>
          <w:color w:val="000000"/>
          <w:sz w:val="21"/>
        </w:rPr>
        <w:t>1. 4年级结束时，如达到学士学位要求者授予法学学士学位。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（3）在此基础上，达到法学“本科荣誉证书”获得条件的授予“本科荣誉证书”，具体要求请见法学“本科荣誉项目”实施方案。                                                                  </w:t>
      </w:r>
    </w:p>
    <w:p>
      <w:pPr>
        <w:spacing w:after="0"/>
        <w:ind w:left="0"/>
        <w:jc w:val="left"/>
      </w:pPr>
      <w:r>
        <w:rPr>
          <w:rFonts w:ascii="SimSun" w:hAnsi="SimSun"/>
          <w:b w:val="false"/>
          <w:i w:val="false"/>
          <w:color w:val="000000"/>
          <w:sz w:val="21"/>
        </w:rPr>
        <w:t xml:space="preserve">2. 双学位项目，如达到法学-经济学、法学-人工智能双学士学位要求者分别授予法学-经济学、法学-工学双学士学位。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drawing>
          <wp:inline distT="0" distB="0" distL="0" distR="0">
            <wp:extent cx="4809067"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9067" cy="18457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法学专业核心课程采取“1+10+X”分类设置模式，以19门课程为基础，建立了符合法学知识教学规律的专业核心课程体系。为鼓励学生多元发展，学生可自行选择修读X课程模块。鼓励学生修读荣誉课程。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建立螺旋递进的全周期科研训练体系，分年级为全体本科生配备学院导师、书院导师，鼓励师生共创，通过复芏计划等项目引导学生在“做中学、学中悟、悟中创”，激发创新志趣。鼓励学生参加国际交流，提升学生的国际视野和跨文化交际能力。鼓励学生参加专业竞赛，以赛促教、促学。</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第四模块“社会研究与当代中国”，即修读第四模块课程将不计入七大模块学分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必选 6学分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习近平法治思想概论</w:t>
            </w:r>
            <w:r>
              <w:br/>
            </w:r>
            <w:r>
              <w:br/>
            </w:r>
            <w:r>
              <w:rPr>
                <w:rFonts w:ascii="SimSun" w:hAnsi="SimSun"/>
                <w:b w:val="false"/>
                <w:i w:val="false"/>
                <w:color w:val="000000"/>
                <w:sz w:val="21"/>
              </w:rPr>
              <w:t>A General Introduction to Xi Jinping Thought on the Rule of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中国法律史</w:t>
            </w:r>
            <w:r>
              <w:br/>
            </w:r>
            <w:r>
              <w:br/>
            </w:r>
            <w:r>
              <w:rPr>
                <w:rFonts w:ascii="SimSun" w:hAnsi="SimSun"/>
                <w:b w:val="false"/>
                <w:i w:val="false"/>
                <w:color w:val="000000"/>
                <w:sz w:val="21"/>
              </w:rPr>
              <w:t>Chinese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w:t>
            </w:r>
            <w:r>
              <w:br/>
            </w:r>
            <w:r>
              <w:br/>
            </w:r>
            <w:r>
              <w:rPr>
                <w:rFonts w:ascii="SimSun" w:hAnsi="SimSun"/>
                <w:b w:val="false"/>
                <w:i w:val="false"/>
                <w:color w:val="000000"/>
                <w:sz w:val="21"/>
              </w:rPr>
              <w:t>Criminal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刑法II</w:t>
            </w:r>
            <w:r>
              <w:br/>
            </w:r>
            <w:r>
              <w:br/>
            </w:r>
            <w:r>
              <w:rPr>
                <w:rFonts w:ascii="SimSun" w:hAnsi="SimSun"/>
                <w:b w:val="false"/>
                <w:i w:val="false"/>
                <w:color w:val="000000"/>
                <w:sz w:val="21"/>
              </w:rPr>
              <w:t>Criminal Law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w:t>
            </w:r>
            <w:r>
              <w:br/>
            </w:r>
            <w:r>
              <w:br/>
            </w:r>
            <w:r>
              <w:rPr>
                <w:rFonts w:ascii="SimSun" w:hAnsi="SimSun"/>
                <w:b w:val="false"/>
                <w:i w:val="false"/>
                <w:color w:val="000000"/>
                <w:sz w:val="21"/>
              </w:rPr>
              <w:t>Civil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民法II</w:t>
            </w:r>
            <w:r>
              <w:br/>
            </w:r>
            <w:r>
              <w:br/>
            </w:r>
            <w:r>
              <w:rPr>
                <w:rFonts w:ascii="SimSun" w:hAnsi="SimSun"/>
                <w:b w:val="false"/>
                <w:i w:val="false"/>
                <w:color w:val="000000"/>
                <w:sz w:val="21"/>
              </w:rPr>
              <w:t>Law of Obligation （Contract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刑事诉讼法</w:t>
            </w:r>
            <w:r>
              <w:br/>
            </w:r>
            <w:r>
              <w:br/>
            </w:r>
            <w:r>
              <w:rPr>
                <w:rFonts w:ascii="SimSun" w:hAnsi="SimSun"/>
                <w:b w:val="false"/>
                <w:i w:val="false"/>
                <w:color w:val="000000"/>
                <w:sz w:val="21"/>
              </w:rPr>
              <w:t>Criminal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民事诉讼法</w:t>
            </w:r>
            <w:r>
              <w:br/>
            </w:r>
            <w:r>
              <w:br/>
            </w:r>
            <w:r>
              <w:rPr>
                <w:rFonts w:ascii="SimSun" w:hAnsi="SimSun"/>
                <w:b w:val="false"/>
                <w:i w:val="false"/>
                <w:color w:val="000000"/>
                <w:sz w:val="21"/>
              </w:rPr>
              <w:t>Civil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行政诉讼法</w:t>
            </w:r>
            <w:r>
              <w:br/>
            </w:r>
            <w:r>
              <w:br/>
            </w:r>
            <w:r>
              <w:rPr>
                <w:rFonts w:ascii="SimSun" w:hAnsi="SimSun"/>
                <w:b w:val="false"/>
                <w:i w:val="false"/>
                <w:color w:val="000000"/>
                <w:sz w:val="21"/>
              </w:rPr>
              <w:t>Administrative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部分平行班全英语</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法律职业伦理</w:t>
            </w:r>
            <w:r>
              <w:br/>
            </w:r>
            <w:r>
              <w:br/>
            </w:r>
            <w:r>
              <w:rPr>
                <w:rFonts w:ascii="SimSun" w:hAnsi="SimSun"/>
                <w:b w:val="false"/>
                <w:i w:val="false"/>
                <w:color w:val="000000"/>
                <w:sz w:val="21"/>
              </w:rPr>
              <w:t>Legal Ethics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商法</w:t>
            </w:r>
            <w:r>
              <w:br/>
            </w:r>
            <w:r>
              <w:br/>
            </w:r>
            <w:r>
              <w:rPr>
                <w:rFonts w:ascii="SimSun" w:hAnsi="SimSun"/>
                <w:b w:val="false"/>
                <w:i w:val="false"/>
                <w:color w:val="000000"/>
                <w:sz w:val="21"/>
              </w:rPr>
              <w:t>Business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知识产权法</w:t>
            </w:r>
            <w:r>
              <w:br/>
            </w:r>
            <w:r>
              <w:br/>
            </w:r>
            <w:r>
              <w:rPr>
                <w:rFonts w:ascii="SimSun" w:hAnsi="SimSun"/>
                <w:b w:val="false"/>
                <w:i w:val="false"/>
                <w:color w:val="000000"/>
                <w:sz w:val="21"/>
              </w:rPr>
              <w:t>Intellectual 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国际私法</w:t>
            </w:r>
            <w:r>
              <w:br/>
            </w:r>
            <w:r>
              <w:br/>
            </w:r>
            <w:r>
              <w:rPr>
                <w:rFonts w:ascii="SimSun" w:hAnsi="SimSun"/>
                <w:b w:val="false"/>
                <w:i w:val="false"/>
                <w:color w:val="000000"/>
                <w:sz w:val="21"/>
              </w:rPr>
              <w:t>Private 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国际经济法导论</w:t>
            </w:r>
            <w:r>
              <w:br/>
            </w:r>
            <w:r>
              <w:br/>
            </w:r>
            <w:r>
              <w:rPr>
                <w:rFonts w:ascii="SimSun" w:hAnsi="SimSun"/>
                <w:b w:val="false"/>
                <w:i w:val="false"/>
                <w:color w:val="000000"/>
                <w:sz w:val="21"/>
              </w:rPr>
              <w:t>Introduction to International Economic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专业英语I(法律)</w:t>
            </w:r>
            <w:r>
              <w:br/>
            </w:r>
            <w:r>
              <w:br/>
            </w:r>
            <w:r>
              <w:rPr>
                <w:rFonts w:ascii="SimSun" w:hAnsi="SimSun"/>
                <w:b w:val="false"/>
                <w:i w:val="false"/>
                <w:color w:val="000000"/>
                <w:sz w:val="21"/>
              </w:rPr>
              <w:t>English for Law Majors I</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包括专业进阶路径、荣誉项目、跨学科发展路径、法学+经济学双学士学位项目、法学+AI双学士学位项目等，要求在院系专业导师指导下选择1条发展路径，按路径要求修读课程。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修满24学分。要求在本专业进阶课程或荣誉课程中修读至少24学分，其中模块I修读满4学分、模块II修读满12学分、模块III修读满4学分、模块IV修读满4学分。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专业进阶模块课程中，备注“*”的课程为全英语、中文双语课程，视开课计划确定。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外国法律史</w:t>
            </w:r>
            <w:r>
              <w:br/>
            </w:r>
            <w:r>
              <w:br/>
            </w:r>
            <w:r>
              <w:rPr>
                <w:rFonts w:ascii="SimSun" w:hAnsi="SimSun"/>
                <w:b w:val="false"/>
                <w:i w:val="false"/>
                <w:color w:val="000000"/>
                <w:sz w:val="21"/>
              </w:rPr>
              <w:t>Foreign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英美法</w:t>
            </w:r>
            <w:r>
              <w:br/>
            </w:r>
            <w:r>
              <w:br/>
            </w:r>
            <w:r>
              <w:rPr>
                <w:rFonts w:ascii="SimSun" w:hAnsi="SimSun"/>
                <w:b w:val="false"/>
                <w:i w:val="false"/>
                <w:color w:val="000000"/>
                <w:sz w:val="21"/>
              </w:rPr>
              <w:t>Anglo-American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欧陆法</w:t>
            </w:r>
            <w:r>
              <w:br/>
            </w:r>
            <w:r>
              <w:br/>
            </w:r>
            <w:r>
              <w:rPr>
                <w:rFonts w:ascii="SimSun" w:hAnsi="SimSun"/>
                <w:b w:val="false"/>
                <w:i w:val="false"/>
                <w:color w:val="000000"/>
                <w:sz w:val="21"/>
              </w:rPr>
              <w:t>Continental European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人权法</w:t>
            </w:r>
            <w:r>
              <w:br/>
            </w:r>
            <w:r>
              <w:br/>
            </w:r>
            <w:r>
              <w:rPr>
                <w:rFonts w:ascii="SimSun" w:hAnsi="SimSun"/>
                <w:b w:val="false"/>
                <w:i w:val="false"/>
                <w:color w:val="000000"/>
                <w:sz w:val="21"/>
              </w:rPr>
              <w:t>Human Rights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台港澳法</w:t>
            </w:r>
            <w:r>
              <w:br/>
            </w:r>
            <w:r>
              <w:br/>
            </w:r>
            <w:r>
              <w:rPr>
                <w:rFonts w:ascii="SimSun" w:hAnsi="SimSun"/>
                <w:b w:val="false"/>
                <w:i w:val="false"/>
                <w:color w:val="000000"/>
                <w:sz w:val="21"/>
              </w:rPr>
              <w:t>Law of Taiwan,Hong Kong and Macau</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比较法</w:t>
            </w:r>
            <w:r>
              <w:br/>
            </w:r>
            <w:r>
              <w:br/>
            </w:r>
            <w:r>
              <w:rPr>
                <w:rFonts w:ascii="SimSun" w:hAnsi="SimSun"/>
                <w:b w:val="false"/>
                <w:i w:val="false"/>
                <w:color w:val="000000"/>
                <w:sz w:val="21"/>
              </w:rPr>
              <w:t>Comparative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西方法律思想史</w:t>
            </w:r>
            <w:r>
              <w:br/>
            </w:r>
            <w:r>
              <w:br/>
            </w:r>
            <w:r>
              <w:rPr>
                <w:rFonts w:ascii="SimSun" w:hAnsi="SimSun"/>
                <w:b w:val="false"/>
                <w:i w:val="false"/>
                <w:color w:val="000000"/>
                <w:sz w:val="21"/>
              </w:rPr>
              <w:t>History of Western legal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法理学研究</w:t>
            </w:r>
            <w:r>
              <w:br/>
            </w:r>
            <w:r>
              <w:br/>
            </w:r>
            <w:r>
              <w:rPr>
                <w:rFonts w:ascii="SimSun" w:hAnsi="SimSun"/>
                <w:b w:val="false"/>
                <w:i w:val="false"/>
                <w:color w:val="000000"/>
                <w:sz w:val="21"/>
              </w:rPr>
              <w:t>Jurisprudence</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LAW50016</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金融法</w:t>
            </w:r>
            <w:r>
              <w:br/>
            </w:r>
            <w:r>
              <w:br/>
            </w:r>
            <w:r>
              <w:rPr>
                <w:rFonts w:ascii="SimSun" w:hAnsi="SimSun"/>
                <w:b w:val="false"/>
                <w:i w:val="false"/>
                <w:color w:val="000000"/>
                <w:sz w:val="21"/>
              </w:rPr>
              <w:t>Financial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公司法</w:t>
            </w:r>
            <w:r>
              <w:br/>
            </w:r>
            <w:r>
              <w:br/>
            </w:r>
            <w:r>
              <w:rPr>
                <w:rFonts w:ascii="SimSun" w:hAnsi="SimSun"/>
                <w:b w:val="false"/>
                <w:i w:val="false"/>
                <w:color w:val="000000"/>
                <w:sz w:val="21"/>
              </w:rPr>
              <w:t>Corporate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刑事政策</w:t>
            </w:r>
            <w:r>
              <w:br/>
            </w:r>
            <w:r>
              <w:br/>
            </w:r>
            <w:r>
              <w:rPr>
                <w:rFonts w:ascii="SimSun" w:hAnsi="SimSun"/>
                <w:b w:val="false"/>
                <w:i w:val="false"/>
                <w:color w:val="000000"/>
                <w:sz w:val="21"/>
              </w:rPr>
              <w:t>Criminal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物权法</w:t>
            </w:r>
            <w:r>
              <w:br/>
            </w:r>
            <w:r>
              <w:br/>
            </w:r>
            <w:r>
              <w:rPr>
                <w:rFonts w:ascii="SimSun" w:hAnsi="SimSun"/>
                <w:b w:val="false"/>
                <w:i w:val="false"/>
                <w:color w:val="000000"/>
                <w:sz w:val="21"/>
              </w:rPr>
              <w:t>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合同法</w:t>
            </w:r>
            <w:r>
              <w:br/>
            </w:r>
            <w:r>
              <w:br/>
            </w:r>
            <w:r>
              <w:rPr>
                <w:rFonts w:ascii="SimSun" w:hAnsi="SimSun"/>
                <w:b w:val="false"/>
                <w:i w:val="false"/>
                <w:color w:val="000000"/>
                <w:sz w:val="21"/>
              </w:rPr>
              <w:t>Contract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劳动法</w:t>
            </w:r>
            <w:r>
              <w:br/>
            </w:r>
            <w:r>
              <w:br/>
            </w:r>
            <w:r>
              <w:rPr>
                <w:rFonts w:ascii="SimSun" w:hAnsi="SimSun"/>
                <w:b w:val="false"/>
                <w:i w:val="false"/>
                <w:color w:val="000000"/>
                <w:sz w:val="21"/>
              </w:rPr>
              <w:t>Labor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证券法</w:t>
            </w:r>
            <w:r>
              <w:br/>
            </w:r>
            <w:r>
              <w:br/>
            </w:r>
            <w:r>
              <w:rPr>
                <w:rFonts w:ascii="SimSun" w:hAnsi="SimSun"/>
                <w:b w:val="false"/>
                <w:i w:val="false"/>
                <w:color w:val="000000"/>
                <w:sz w:val="21"/>
              </w:rPr>
              <w:t>Securities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侵权责任法</w:t>
            </w:r>
            <w:r>
              <w:br/>
            </w:r>
            <w:r>
              <w:br/>
            </w:r>
            <w:r>
              <w:rPr>
                <w:rFonts w:ascii="SimSun" w:hAnsi="SimSun"/>
                <w:b w:val="false"/>
                <w:i w:val="false"/>
                <w:color w:val="000000"/>
                <w:sz w:val="21"/>
              </w:rPr>
              <w:t>Tort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婚姻家庭法</w:t>
            </w:r>
            <w:r>
              <w:br/>
            </w:r>
            <w:r>
              <w:br/>
            </w:r>
            <w:r>
              <w:rPr>
                <w:rFonts w:ascii="SimSun" w:hAnsi="SimSun"/>
                <w:b w:val="false"/>
                <w:i w:val="false"/>
                <w:color w:val="000000"/>
                <w:sz w:val="21"/>
              </w:rPr>
              <w:t>Marriage and Family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破产法</w:t>
            </w:r>
            <w:r>
              <w:br/>
            </w:r>
            <w:r>
              <w:br/>
            </w:r>
            <w:r>
              <w:rPr>
                <w:rFonts w:ascii="SimSun" w:hAnsi="SimSun"/>
                <w:b w:val="false"/>
                <w:i w:val="false"/>
                <w:color w:val="000000"/>
                <w:sz w:val="21"/>
              </w:rPr>
              <w:t>Bankruptcy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证据法</w:t>
            </w:r>
            <w:r>
              <w:br/>
            </w:r>
            <w:r>
              <w:br/>
            </w:r>
            <w:r>
              <w:rPr>
                <w:rFonts w:ascii="SimSun" w:hAnsi="SimSun"/>
                <w:b w:val="false"/>
                <w:i w:val="false"/>
                <w:color w:val="000000"/>
                <w:sz w:val="21"/>
              </w:rPr>
              <w:t>Evidence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票据法</w:t>
            </w:r>
            <w:r>
              <w:br/>
            </w:r>
            <w:r>
              <w:br/>
            </w:r>
            <w:r>
              <w:rPr>
                <w:rFonts w:ascii="SimSun" w:hAnsi="SimSun"/>
                <w:b w:val="false"/>
                <w:i w:val="false"/>
                <w:color w:val="000000"/>
                <w:sz w:val="21"/>
              </w:rPr>
              <w:t>Commercial Paper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犯罪学</w:t>
            </w:r>
            <w:r>
              <w:br/>
            </w:r>
            <w:r>
              <w:br/>
            </w:r>
            <w:r>
              <w:rPr>
                <w:rFonts w:ascii="SimSun" w:hAnsi="SimSun"/>
                <w:b w:val="false"/>
                <w:i w:val="false"/>
                <w:color w:val="000000"/>
                <w:sz w:val="21"/>
              </w:rPr>
              <w:t>Criminology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市场规制法</w:t>
            </w:r>
            <w:r>
              <w:br/>
            </w:r>
            <w:r>
              <w:br/>
            </w:r>
            <w:r>
              <w:rPr>
                <w:rFonts w:ascii="SimSun" w:hAnsi="SimSun"/>
                <w:b w:val="false"/>
                <w:i w:val="false"/>
                <w:color w:val="000000"/>
                <w:sz w:val="21"/>
              </w:rPr>
              <w:t>Market Regulation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医事法</w:t>
            </w:r>
            <w:r>
              <w:br/>
            </w:r>
            <w:r>
              <w:br/>
            </w:r>
            <w:r>
              <w:rPr>
                <w:rFonts w:ascii="SimSun" w:hAnsi="SimSun"/>
                <w:b w:val="false"/>
                <w:i w:val="false"/>
                <w:color w:val="000000"/>
                <w:sz w:val="21"/>
              </w:rPr>
              <w:t>Medical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气候变化的治理与法律</w:t>
            </w:r>
            <w:r>
              <w:br/>
            </w:r>
            <w:r>
              <w:br/>
            </w:r>
            <w:r>
              <w:rPr>
                <w:rFonts w:ascii="SimSun" w:hAnsi="SimSun"/>
                <w:b w:val="false"/>
                <w:i w:val="false"/>
                <w:color w:val="000000"/>
                <w:sz w:val="21"/>
              </w:rPr>
              <w:t>The Governance of Climate Change and Law</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LAW50058</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专业进阶课程III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国际金融法</w:t>
            </w:r>
            <w:r>
              <w:br/>
            </w:r>
            <w:r>
              <w:br/>
            </w:r>
            <w:r>
              <w:rPr>
                <w:rFonts w:ascii="SimSun" w:hAnsi="SimSun"/>
                <w:b w:val="false"/>
                <w:i w:val="false"/>
                <w:color w:val="000000"/>
                <w:sz w:val="21"/>
              </w:rPr>
              <w:t>International Financial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国际贸易法</w:t>
            </w:r>
            <w:r>
              <w:br/>
            </w:r>
            <w:r>
              <w:br/>
            </w:r>
            <w:r>
              <w:rPr>
                <w:rFonts w:ascii="SimSun" w:hAnsi="SimSun"/>
                <w:b w:val="false"/>
                <w:i w:val="false"/>
                <w:color w:val="000000"/>
                <w:sz w:val="21"/>
              </w:rPr>
              <w:t>International Trade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国际商事仲裁法</w:t>
            </w:r>
            <w:r>
              <w:br/>
            </w:r>
            <w:r>
              <w:br/>
            </w:r>
            <w:r>
              <w:rPr>
                <w:rFonts w:ascii="SimSun" w:hAnsi="SimSun"/>
                <w:b w:val="false"/>
                <w:i w:val="false"/>
                <w:color w:val="000000"/>
                <w:sz w:val="21"/>
              </w:rPr>
              <w:t>International Commercial Arbitration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全英文</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海商法</w:t>
            </w:r>
            <w:r>
              <w:br/>
            </w:r>
            <w:r>
              <w:br/>
            </w:r>
            <w:r>
              <w:rPr>
                <w:rFonts w:ascii="SimSun" w:hAnsi="SimSun"/>
                <w:b w:val="false"/>
                <w:i w:val="false"/>
                <w:color w:val="000000"/>
                <w:sz w:val="21"/>
              </w:rPr>
              <w:t>Maritime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专业英语II（法律）</w:t>
            </w:r>
            <w:r>
              <w:br/>
            </w:r>
            <w:r>
              <w:br/>
            </w:r>
            <w:r>
              <w:rPr>
                <w:rFonts w:ascii="SimSun" w:hAnsi="SimSun"/>
                <w:b w:val="false"/>
                <w:i w:val="false"/>
                <w:color w:val="000000"/>
                <w:sz w:val="21"/>
              </w:rPr>
              <w:t>Legal English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全英文</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国际投资法</w:t>
            </w:r>
            <w:r>
              <w:br/>
            </w:r>
            <w:r>
              <w:br/>
            </w:r>
            <w:r>
              <w:rPr>
                <w:rFonts w:ascii="SimSun" w:hAnsi="SimSun"/>
                <w:b w:val="false"/>
                <w:i w:val="false"/>
                <w:color w:val="000000"/>
                <w:sz w:val="21"/>
              </w:rPr>
              <w:t>International Investment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国际税法</w:t>
            </w:r>
            <w:r>
              <w:br/>
            </w:r>
            <w:r>
              <w:br/>
            </w:r>
            <w:r>
              <w:rPr>
                <w:rFonts w:ascii="SimSun" w:hAnsi="SimSun"/>
                <w:b w:val="false"/>
                <w:i w:val="false"/>
                <w:color w:val="000000"/>
                <w:sz w:val="21"/>
              </w:rPr>
              <w:t>International Tax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国际经济合同</w:t>
            </w:r>
            <w:r>
              <w:br/>
            </w:r>
            <w:r>
              <w:br/>
            </w:r>
            <w:r>
              <w:rPr>
                <w:rFonts w:ascii="SimSun" w:hAnsi="SimSun"/>
                <w:b w:val="false"/>
                <w:i w:val="false"/>
                <w:color w:val="000000"/>
                <w:sz w:val="21"/>
              </w:rPr>
              <w:t>International Commercial Contracts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国际商法</w:t>
            </w:r>
            <w:r>
              <w:br/>
            </w:r>
            <w:r>
              <w:br/>
            </w:r>
            <w:r>
              <w:rPr>
                <w:rFonts w:ascii="SimSun" w:hAnsi="SimSun"/>
                <w:b w:val="false"/>
                <w:i w:val="false"/>
                <w:color w:val="000000"/>
                <w:sz w:val="21"/>
              </w:rPr>
              <w:t>International Commercial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国际刑法</w:t>
            </w:r>
            <w:r>
              <w:br/>
            </w:r>
            <w:r>
              <w:br/>
            </w:r>
            <w:r>
              <w:rPr>
                <w:rFonts w:ascii="SimSun" w:hAnsi="SimSun"/>
                <w:b w:val="false"/>
                <w:i w:val="false"/>
                <w:color w:val="000000"/>
                <w:sz w:val="21"/>
              </w:rPr>
              <w:t>International Criminal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专业英语III（法律）</w:t>
            </w:r>
            <w:r>
              <w:br/>
            </w:r>
            <w:r>
              <w:br/>
            </w:r>
            <w:r>
              <w:rPr>
                <w:rFonts w:ascii="SimSun" w:hAnsi="SimSun"/>
                <w:b w:val="false"/>
                <w:i w:val="false"/>
                <w:color w:val="000000"/>
                <w:sz w:val="21"/>
              </w:rPr>
              <w:t>Legal English III</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全英文</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专业进阶课程IV</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法律检索</w:t>
            </w:r>
            <w:r>
              <w:br/>
            </w:r>
            <w:r>
              <w:br/>
            </w:r>
            <w:r>
              <w:rPr>
                <w:rFonts w:ascii="SimSun" w:hAnsi="SimSun"/>
                <w:b w:val="false"/>
                <w:i w:val="false"/>
                <w:color w:val="000000"/>
                <w:sz w:val="21"/>
              </w:rPr>
              <w:t>Legal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法律谈判</w:t>
            </w:r>
            <w:r>
              <w:br/>
            </w:r>
            <w:r>
              <w:br/>
            </w:r>
            <w:r>
              <w:rPr>
                <w:rFonts w:ascii="SimSun" w:hAnsi="SimSun"/>
                <w:b w:val="false"/>
                <w:i w:val="false"/>
                <w:color w:val="000000"/>
                <w:sz w:val="21"/>
              </w:rPr>
              <w:t>Legal Negotiation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交易律师实务</w:t>
            </w:r>
            <w:r>
              <w:br/>
            </w:r>
            <w:r>
              <w:br/>
            </w:r>
            <w:r>
              <w:rPr>
                <w:rFonts w:ascii="SimSun" w:hAnsi="SimSun"/>
                <w:b w:val="false"/>
                <w:i w:val="false"/>
                <w:color w:val="000000"/>
                <w:sz w:val="21"/>
              </w:rPr>
              <w:t>Trade Lawyer Practices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LAW50063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类案裁判方法专题</w:t>
            </w:r>
            <w:r>
              <w:br/>
            </w:r>
            <w:r>
              <w:br/>
            </w:r>
            <w:r>
              <w:rPr>
                <w:rFonts w:ascii="SimSun" w:hAnsi="SimSun"/>
                <w:b w:val="false"/>
                <w:i w:val="false"/>
                <w:color w:val="000000"/>
                <w:sz w:val="21"/>
              </w:rPr>
              <w:t>Adjudication Pattern of Similar Judicial Cases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LAW50060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知识产权法律实务</w:t>
            </w:r>
            <w:r>
              <w:br/>
            </w:r>
            <w:r>
              <w:br/>
            </w:r>
            <w:r>
              <w:rPr>
                <w:rFonts w:ascii="SimSun" w:hAnsi="SimSun"/>
                <w:b w:val="false"/>
                <w:i w:val="false"/>
                <w:color w:val="000000"/>
                <w:sz w:val="21"/>
              </w:rPr>
              <w:t>Intellectual Property Legal Practices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LAW50062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法律实务</w:t>
            </w:r>
            <w:r>
              <w:br/>
            </w:r>
            <w:r>
              <w:br/>
            </w:r>
            <w:r>
              <w:rPr>
                <w:rFonts w:ascii="SimSun" w:hAnsi="SimSun"/>
                <w:b w:val="false"/>
                <w:i w:val="false"/>
                <w:color w:val="000000"/>
                <w:sz w:val="21"/>
              </w:rPr>
              <w:t>Practice of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案例探讨</w:t>
            </w:r>
            <w:r>
              <w:br/>
            </w:r>
            <w:r>
              <w:br/>
            </w:r>
            <w:r>
              <w:rPr>
                <w:rFonts w:ascii="SimSun" w:hAnsi="SimSun"/>
                <w:b w:val="false"/>
                <w:i w:val="false"/>
                <w:color w:val="000000"/>
                <w:sz w:val="21"/>
              </w:rPr>
              <w:t>Analysis of Legal Cases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检察业务专题</w:t>
            </w:r>
            <w:r>
              <w:br/>
            </w:r>
            <w:r>
              <w:br/>
            </w:r>
            <w:r>
              <w:rPr>
                <w:rFonts w:ascii="SimSun" w:hAnsi="SimSun"/>
                <w:b w:val="false"/>
                <w:i w:val="false"/>
                <w:color w:val="000000"/>
                <w:sz w:val="21"/>
              </w:rPr>
              <w:t>Lectures on Prosecution Services</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LAW50061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修读荣誉课程的学分数不低于24分，课程门数不少于6门，且其中6门成绩不低于A-。在带“*”号的6门荣誉课程中至少修读4门，且满足专业进阶模块修读不少于14学分等修读要求， 荣誉项目课程设置和修读要求请见法学院本科“荣誉项目”实施方案。下载地址：https://jwc.fudan.edu.cn/（复旦大学教务处）-专业培养-常用文档。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学院注重价值引领与人格养成，为每一位本科生全学程、分阶段配备一位导师，为学生全面发展提供个性化指导，打造共建共享的师生学术和文化共同体。
       </w:t>
      </w:r>
      <w:r>
        <w:br/>
      </w:r>
      <w:r>
        <w:rPr>
          <w:rFonts w:ascii="SimSun" w:hAnsi="SimSun"/>
          <w:b w:val="false"/>
          <w:i w:val="false"/>
          <w:color w:val="000000"/>
          <w:sz w:val="21"/>
        </w:rPr>
        <w:t xml:space="preserve">
       </w:t>
      </w:r>
      <w:r>
        <w:br/>
      </w:r>
      <w:r>
        <w:rPr>
          <w:rFonts w:ascii="SimSun" w:hAnsi="SimSun"/>
          <w:b w:val="false"/>
          <w:i w:val="false"/>
          <w:color w:val="000000"/>
          <w:sz w:val="21"/>
        </w:rPr>
        <w:t xml:space="preserve">2. 通过复芏计划等项目引导学生在“做中学、学中悟、悟中创”，激发创新志趣。鼓励学生参加国际交流，提升学生的国际视野和跨文化交际能力。鼓励学生参加专业竞赛，以赛促教、促学。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全员全过程导师制</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鼓励学生参加国际交流，提升学生的国际视野和跨文化交际能力。</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鼓励学生参加各类专业竞赛，以赛促教、促学。</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鼓励学生参加复芏计划等项目，“做中学、学中悟、悟中创”激发创新志趣</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