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2025通信工程-信息与计算科学（人工智能方向）双学士学位项目培养方案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1958年成立的复旦大学无线电电子学专业，1998年经调整正式设立，经过近三十年的发展，形成了以数理基础为优势、光电融合为特色，与电子科学、智能计算等深度交叉融合的信息与通信工程领域人才培养品牌。2022年度通信工程专业入选国家一流本科专业建设点（入选教育部“双万计划”）。</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具有扎实的数学、物理、外语基础，掌握信息通信领域内的基本理论和基本知识，能在信息与通信领域中从事研究、设计、制造、运营及在国民经济各部门和国防工业中从事开发、应用信息通信技术与设备的高级工程技术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436533" cy="1964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36533" cy="1964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w:t>
      </w:r>
    </w:p>
    <w:p>
      <w:pPr>
        <w:spacing w:after="0"/>
        <w:ind w:left="0"/>
        <w:jc w:val="left"/>
      </w:pPr>
      <w:r>
        <w:rPr>
          <w:rFonts w:ascii="SimSun" w:hAnsi="SimSun"/>
          <w:b w:val="false"/>
          <w:i w:val="false"/>
          <w:color w:val="000000"/>
          <w:sz w:val="21"/>
        </w:rPr>
        <w:t>2. 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125"/>
        <w:gridCol w:w="945"/>
        <w:gridCol w:w="1144"/>
        <w:gridCol w:w="1145"/>
        <w:gridCol w:w="1825"/>
        <w:gridCol w:w="1265"/>
        <w:gridCol w:w="1442"/>
        <w:gridCol w:w="1444"/>
        <w:gridCol w:w="1114"/>
        <w:gridCol w:w="1114"/>
        <w:gridCol w:w="1117"/>
      </w:tblGrid>
      <w:tr>
        <w:trPr>
          <w:trHeight w:val="480" w:hRule="atLeast"/>
        </w:trPr>
        <w:tc>
          <w:tcPr>
            <w:tcW w:w="31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10" w:hRule="atLeast"/>
        </w:trPr>
        <w:tc>
          <w:tcPr>
            <w:tcW w:w="31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9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工学与理学学士</w:t>
            </w:r>
          </w:p>
        </w:tc>
        <w:tc>
          <w:tcPr>
            <w:tcW w:w="18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通信工程</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182  </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通识教育课程39学分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专业培养课程95学分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专业进阶模块29学分</w:t>
            </w:r>
          </w:p>
        </w:tc>
      </w:tr>
      <w:tr>
        <w:trPr>
          <w:trHeight w:val="120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融合创新能力培养19学分</w:t>
            </w:r>
          </w:p>
        </w:tc>
      </w:tr>
      <w:tr>
        <w:trPr>
          <w:trHeight w:val="237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318000" cy="1676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18000" cy="16764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1、专业进阶路径：182学分</w:t>
      </w:r>
    </w:p>
    <w:p>
      <w:pPr>
        <w:spacing w:after="0"/>
        <w:ind w:left="0"/>
        <w:jc w:val="left"/>
      </w:pPr>
      <w:r>
        <w:rPr>
          <w:rFonts w:ascii="SimSun" w:hAnsi="SimSun"/>
          <w:b w:val="false"/>
          <w:i w:val="false"/>
          <w:color w:val="000000"/>
          <w:sz w:val="21"/>
        </w:rPr>
        <w:t xml:space="preserve">  本路径学生需要完成182学分（含实践学分不低于45.5学分；含美育学分不少于2学分，其中至少在“美学和艺术史论类”或“艺术鉴赏和评论类”课程中修读1学分，并至少参与一项艺术实践活动；劳动教育不少于32学时，并满足劳动周教育要求），包括通识教育课程39学分、专业培养课程95学分、专业进阶模块修读29学分、融合创新能力培养19学分。</w:t>
      </w:r>
    </w:p>
    <w:p>
      <w:pPr>
        <w:spacing w:after="0"/>
        <w:ind w:left="0"/>
        <w:jc w:val="left"/>
      </w:pPr>
      <w:r>
        <w:rPr>
          <w:rFonts w:ascii="SimSun" w:hAnsi="SimSun"/>
          <w:b w:val="false"/>
          <w:i w:val="false"/>
          <w:color w:val="000000"/>
          <w:sz w:val="21"/>
        </w:rPr>
        <w:t xml:space="preserve"> 2、荣誉项目：188学分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3、跨学科发展路径：197学分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通信工程-信息与计算科学（人工智能方向）双学士学位项目，如达到该双学士学位要求者授予工学-理学双学士学位。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7门荣誉课程可供修读，完成6门荣誉课程的基础上授予荣誉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910667" cy="2658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10667" cy="26585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通识教育核心课程（26学分）</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026"/>
        <w:gridCol w:w="1843"/>
        <w:gridCol w:w="727"/>
        <w:gridCol w:w="713"/>
        <w:gridCol w:w="698"/>
        <w:gridCol w:w="1644"/>
        <w:gridCol w:w="909"/>
        <w:gridCol w:w="680"/>
        <w:gridCol w:w="707"/>
        <w:gridCol w:w="781"/>
        <w:gridCol w:w="1218"/>
        <w:gridCol w:w="2688"/>
      </w:tblGrid>
      <w:tr>
        <w:trPr>
          <w:trHeight w:val="45" w:hRule="atLeast"/>
        </w:trPr>
        <w:tc>
          <w:tcPr>
            <w:tcW w:w="10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w:t>
            </w: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69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102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通识教育核心课程（26学分）</w:t>
            </w: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9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9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9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9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9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9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9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69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4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见核心课程七大模块课程列表（回避第五模块）</w:t>
            </w: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9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6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专项教育课程（13学分）</w:t>
      </w:r>
    </w:p>
    <w:p>
      <w:pPr>
        <w:spacing w:after="0"/>
        <w:ind w:left="0"/>
        <w:jc w:val="left"/>
      </w:pPr>
      <w:r>
        <w:rPr>
          <w:rFonts w:ascii="SimSun" w:hAnsi="SimSun"/>
          <w:b w:val="false"/>
          <w:i w:val="false"/>
          <w:color w:val="000000"/>
          <w:sz w:val="21"/>
        </w:rPr>
        <w:t xml:space="preserve">  要求修读13学分。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047"/>
        <w:gridCol w:w="2112"/>
        <w:gridCol w:w="734"/>
        <w:gridCol w:w="631"/>
        <w:gridCol w:w="603"/>
        <w:gridCol w:w="1251"/>
        <w:gridCol w:w="935"/>
        <w:gridCol w:w="699"/>
        <w:gridCol w:w="727"/>
        <w:gridCol w:w="790"/>
        <w:gridCol w:w="1251"/>
        <w:gridCol w:w="2854"/>
      </w:tblGrid>
      <w:tr>
        <w:trPr>
          <w:trHeight w:val="480" w:hRule="atLeast"/>
        </w:trPr>
        <w:tc>
          <w:tcPr>
            <w:tcW w:w="104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专项教育课程（14学分）</w:t>
            </w: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6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0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3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1680"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80"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6720"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要求修读65学分（选修荣誉课程学分数每门加1分）。其中A组课程为第一学位课程，修读30学分。B组课程为第二学位课程，修读35学分。设置如下：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电磁场与微波技术</w:t>
            </w:r>
            <w:r>
              <w:br/>
            </w:r>
            <w:r>
              <w:br/>
            </w:r>
            <w:r>
              <w:rPr>
                <w:rFonts w:ascii="SimSun" w:hAnsi="SimSun"/>
                <w:b w:val="false"/>
                <w:i w:val="false"/>
                <w:color w:val="000000"/>
                <w:sz w:val="21"/>
              </w:rPr>
              <w:t>Electromagnetic Wave and Microwave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通信原理B</w:t>
            </w:r>
            <w:r>
              <w:br/>
            </w:r>
            <w:r>
              <w:br/>
            </w:r>
            <w:r>
              <w:rPr>
                <w:rFonts w:ascii="SimSun" w:hAnsi="SimSun"/>
                <w:b w:val="false"/>
                <w:i w:val="false"/>
                <w:color w:val="000000"/>
                <w:sz w:val="21"/>
              </w:rPr>
              <w:t>Principles of Communications (B)</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修满29学分。要求在本专业专业进阶模块I修读21学分、专业进阶模块II修读8学分。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A组课程为第一学位课程，修读不少于13学分。B组为第二学位课程，修读不少于8学分。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（13学分）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计算机通信与网络</w:t>
            </w:r>
            <w:r>
              <w:br/>
            </w:r>
            <w:r>
              <w:br/>
            </w:r>
            <w:r>
              <w:rPr>
                <w:rFonts w:ascii="SimSun" w:hAnsi="SimSun"/>
                <w:b w:val="false"/>
                <w:i w:val="false"/>
                <w:color w:val="000000"/>
                <w:sz w:val="21"/>
              </w:rPr>
              <w:t>Computer Communication and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w:t>
            </w:r>
            <w:r>
              <w:br/>
            </w:r>
            <w:r>
              <w:br/>
            </w:r>
            <w:r>
              <w:rPr>
                <w:rFonts w:ascii="SimSun" w:hAnsi="SimSun"/>
                <w:b w:val="false"/>
                <w:i w:val="false"/>
                <w:color w:val="000000"/>
                <w:sz w:val="21"/>
              </w:rPr>
              <w:t>Principles of Optical Fiber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无线通信</w:t>
            </w:r>
            <w:r>
              <w:br/>
            </w:r>
            <w:r>
              <w:br/>
            </w:r>
            <w:r>
              <w:rPr>
                <w:rFonts w:ascii="SimSun" w:hAnsi="SimSun"/>
                <w:b w:val="false"/>
                <w:i w:val="false"/>
                <w:color w:val="000000"/>
                <w:sz w:val="21"/>
              </w:rPr>
              <w:t>Wireless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科技英语</w:t>
            </w:r>
            <w:r>
              <w:br/>
            </w:r>
            <w:r>
              <w:br/>
            </w:r>
            <w:r>
              <w:rPr>
                <w:rFonts w:ascii="SimSun" w:hAnsi="SimSun"/>
                <w:b w:val="false"/>
                <w:i w:val="false"/>
                <w:color w:val="000000"/>
                <w:sz w:val="21"/>
              </w:rPr>
              <w:t>English for Science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计算机仿真与模拟</w:t>
            </w:r>
            <w:r>
              <w:br/>
            </w:r>
            <w:r>
              <w:br/>
            </w:r>
            <w:r>
              <w:rPr>
                <w:rFonts w:ascii="SimSun" w:hAnsi="SimSun"/>
                <w:b w:val="false"/>
                <w:i w:val="false"/>
                <w:color w:val="000000"/>
                <w:sz w:val="21"/>
              </w:rPr>
              <w:t>Computer Simulation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智能通信导论</w:t>
            </w:r>
            <w:r>
              <w:br/>
            </w:r>
            <w:r>
              <w:br/>
            </w:r>
            <w:r>
              <w:rPr>
                <w:rFonts w:ascii="SimSun" w:hAnsi="SimSun"/>
                <w:b w:val="false"/>
                <w:i w:val="false"/>
                <w:color w:val="000000"/>
                <w:sz w:val="21"/>
              </w:rPr>
              <w:t>Introduction to Intelligent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离散数学</w:t>
            </w:r>
            <w:r>
              <w:br/>
            </w:r>
            <w:r>
              <w:br/>
            </w:r>
            <w:r>
              <w:rPr>
                <w:rFonts w:ascii="SimSun" w:hAnsi="SimSun"/>
                <w:b w:val="false"/>
                <w:i w:val="false"/>
                <w:color w:val="000000"/>
                <w:sz w:val="21"/>
              </w:rPr>
              <w:t>Discrete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天线原理</w:t>
            </w:r>
            <w:r>
              <w:br/>
            </w:r>
            <w:r>
              <w:br/>
            </w:r>
            <w:r>
              <w:rPr>
                <w:rFonts w:ascii="SimSun" w:hAnsi="SimSun"/>
                <w:b w:val="false"/>
                <w:i w:val="false"/>
                <w:color w:val="000000"/>
                <w:sz w:val="21"/>
              </w:rPr>
              <w:t>Antenna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遥感原理与技术</w:t>
            </w:r>
            <w:r>
              <w:br/>
            </w:r>
            <w:r>
              <w:br/>
            </w:r>
            <w:r>
              <w:rPr>
                <w:rFonts w:ascii="SimSun" w:hAnsi="SimSun"/>
                <w:b w:val="false"/>
                <w:i w:val="false"/>
                <w:color w:val="000000"/>
                <w:sz w:val="21"/>
              </w:rPr>
              <w:t>Remote Sensing Technology and Its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智能硬件创新方法概论与基础实践</w:t>
            </w:r>
            <w:r>
              <w:br/>
            </w:r>
            <w:r>
              <w:br/>
            </w:r>
            <w:r>
              <w:rPr>
                <w:rFonts w:ascii="SimSun" w:hAnsi="SimSun"/>
                <w:b w:val="false"/>
                <w:i w:val="false"/>
                <w:color w:val="000000"/>
                <w:sz w:val="21"/>
              </w:rPr>
              <w:t>Intelligent Hardware Innovation: Introduction and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光通信网络基础</w:t>
            </w:r>
            <w:r>
              <w:br/>
            </w:r>
            <w:r>
              <w:br/>
            </w:r>
            <w:r>
              <w:rPr>
                <w:rFonts w:ascii="SimSun" w:hAnsi="SimSun"/>
                <w:b w:val="false"/>
                <w:i w:val="false"/>
                <w:color w:val="000000"/>
                <w:sz w:val="21"/>
              </w:rPr>
              <w:t>Optical Communication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通信与信息系统实验B</w:t>
            </w:r>
            <w:r>
              <w:br/>
            </w:r>
            <w:r>
              <w:br/>
            </w:r>
            <w:r>
              <w:rPr>
                <w:rFonts w:ascii="SimSun" w:hAnsi="SimSun"/>
                <w:b w:val="false"/>
                <w:i w:val="false"/>
                <w:color w:val="000000"/>
                <w:sz w:val="21"/>
              </w:rPr>
              <w:t>Communication and Information Systems Experiment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智能光电子导论</w:t>
            </w:r>
            <w:r>
              <w:br/>
            </w:r>
            <w:r>
              <w:br/>
            </w:r>
            <w:r>
              <w:rPr>
                <w:rFonts w:ascii="SimSun" w:hAnsi="SimSun"/>
                <w:b w:val="false"/>
                <w:i w:val="false"/>
                <w:color w:val="000000"/>
                <w:sz w:val="21"/>
              </w:rPr>
              <w:t>Introduction to Intelligent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空天信息导论</w:t>
            </w:r>
            <w:r>
              <w:br/>
            </w:r>
            <w:r>
              <w:br/>
            </w:r>
            <w:r>
              <w:rPr>
                <w:rFonts w:ascii="SimSun" w:hAnsi="SimSun"/>
                <w:b w:val="false"/>
                <w:i w:val="false"/>
                <w:color w:val="000000"/>
                <w:sz w:val="21"/>
              </w:rPr>
              <w:t>Introduction of Space Information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网络协议与网络安全基础</w:t>
            </w:r>
            <w:r>
              <w:br/>
            </w:r>
            <w:r>
              <w:br/>
            </w:r>
            <w:r>
              <w:rPr>
                <w:rFonts w:ascii="SimSun" w:hAnsi="SimSun"/>
                <w:b w:val="false"/>
                <w:i w:val="false"/>
                <w:color w:val="000000"/>
                <w:sz w:val="21"/>
              </w:rPr>
              <w:t>Fundamentals of Network Protocol and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微波工程基础</w:t>
            </w:r>
            <w:r>
              <w:br/>
            </w:r>
            <w:r>
              <w:br/>
            </w:r>
            <w:r>
              <w:rPr>
                <w:rFonts w:ascii="SimSun" w:hAnsi="SimSun"/>
                <w:b w:val="false"/>
                <w:i w:val="false"/>
                <w:color w:val="000000"/>
                <w:sz w:val="21"/>
              </w:rPr>
              <w:t>Microwave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修满35学分。要求修读荣誉课程不低于24学分（不少于6门课），且满足专业进阶模块I修读21学分、专业进阶模块II修读8学分。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修满44学分。要求在本专业专业进阶模块I修读21学分、专业进阶模块II修读8学分、1个非本专业独立开设的学程15学分。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修满44学分。要求在本专业专业进阶模块I修读21学分、专业进阶模块II修读8学分、1个创新创业学程。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通信领域前沿导论课和无学分讨论班，引导学生早进课题组轮转，培育兴趣。2、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全国大学生数模竞赛、全国大学生电子设计竞赛等、中国国际大学生创新大赛、“挑战杯”全国大学生课外学术科技作品竞赛、中国大学生工程实践与创新能力大赛、全国大学生光电设计竞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3. 在组一和组二中，选择一组课程完成修读，要求修读6学分。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组一：毕业论文（6学分，课程代码：EST40005）
       </w:t>
      </w:r>
      <w:r>
        <w:br/>
      </w:r>
      <w:r>
        <w:rPr>
          <w:rFonts w:ascii="SimSun" w:hAnsi="SimSun"/>
          <w:b w:val="false"/>
          <w:i w:val="false"/>
          <w:color w:val="000000"/>
          <w:sz w:val="21"/>
        </w:rPr>
        <w:t xml:space="preserve">
       </w:t>
      </w:r>
      <w:r>
        <w:br/>
      </w:r>
      <w:r>
        <w:rPr>
          <w:rFonts w:ascii="SimSun" w:hAnsi="SimSun"/>
          <w:b w:val="false"/>
          <w:i w:val="false"/>
          <w:color w:val="000000"/>
          <w:sz w:val="21"/>
        </w:rPr>
        <w:t xml:space="preserve">组二：科研实践I；科研实践II；复芏计划；毕业论文（2学分，课程代码： EST40035）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通信与信息系统实验A</w:t>
            </w:r>
            <w:r>
              <w:br/>
            </w:r>
            <w:r>
              <w:br/>
            </w:r>
            <w:r>
              <w:rPr>
                <w:rFonts w:ascii="SimSun" w:hAnsi="SimSun"/>
                <w:b w:val="false"/>
                <w:i w:val="false"/>
                <w:color w:val="000000"/>
                <w:sz w:val="21"/>
              </w:rPr>
              <w:t>Communication and Information Systems Experiment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